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D0CF79" w14:textId="77777777" w:rsidR="00E14CE6" w:rsidRDefault="00E14CE6" w:rsidP="00962D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</w:rPr>
      </w:pPr>
    </w:p>
    <w:p w14:paraId="0868C5D0" w14:textId="77777777" w:rsidR="00E14CE6" w:rsidRDefault="00E14CE6" w:rsidP="00962D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</w:rPr>
      </w:pPr>
    </w:p>
    <w:p w14:paraId="6B0AF802" w14:textId="42B78867" w:rsidR="00832B7C" w:rsidRPr="00832B7C" w:rsidRDefault="00832B7C" w:rsidP="00832B7C">
      <w:pPr>
        <w:widowControl w:val="0"/>
        <w:tabs>
          <w:tab w:val="left" w:pos="2119"/>
        </w:tabs>
        <w:autoSpaceDE w:val="0"/>
        <w:autoSpaceDN w:val="0"/>
        <w:spacing w:after="0" w:line="240" w:lineRule="auto"/>
        <w:ind w:left="567"/>
        <w:rPr>
          <w:rFonts w:ascii="Times New Roman" w:eastAsia="Calibri" w:hAnsi="Times New Roman" w:cs="Times New Roman"/>
          <w:b/>
          <w:lang w:val="pt-PT"/>
        </w:rPr>
      </w:pPr>
      <w:r w:rsidRPr="00832B7C">
        <w:rPr>
          <w:rFonts w:ascii="Times New Roman" w:eastAsia="Calibri" w:hAnsi="Times New Roman" w:cs="Times New Roman"/>
          <w:b/>
          <w:lang w:val="pt-PT"/>
        </w:rPr>
        <w:t>AUTOGRAFO DO PROJETO DE LEI Nº 10</w:t>
      </w:r>
      <w:r w:rsidR="00533DCE">
        <w:rPr>
          <w:rFonts w:ascii="Times New Roman" w:eastAsia="Calibri" w:hAnsi="Times New Roman" w:cs="Times New Roman"/>
          <w:b/>
          <w:lang w:val="pt-PT"/>
        </w:rPr>
        <w:t>4</w:t>
      </w:r>
      <w:r w:rsidRPr="00832B7C">
        <w:rPr>
          <w:rFonts w:ascii="Times New Roman" w:eastAsia="Calibri" w:hAnsi="Times New Roman" w:cs="Times New Roman"/>
          <w:b/>
          <w:lang w:val="pt-PT"/>
        </w:rPr>
        <w:t>/2025</w:t>
      </w:r>
    </w:p>
    <w:p w14:paraId="1ED95CD7" w14:textId="155FC55A" w:rsidR="00832B7C" w:rsidRDefault="00533DCE" w:rsidP="00533DCE">
      <w:pPr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Autoria: PODER EXECUTIVO</w:t>
      </w:r>
    </w:p>
    <w:p w14:paraId="15F8B1C9" w14:textId="77777777" w:rsidR="00533DCE" w:rsidRDefault="00533DCE" w:rsidP="00832B7C">
      <w:pPr>
        <w:ind w:left="3969"/>
        <w:rPr>
          <w:rFonts w:ascii="Times New Roman" w:hAnsi="Times New Roman" w:cs="Times New Roman"/>
        </w:rPr>
      </w:pPr>
    </w:p>
    <w:p w14:paraId="12C08E88" w14:textId="035EF4CC" w:rsidR="00533DCE" w:rsidRPr="00533DCE" w:rsidRDefault="00533DCE" w:rsidP="00832B7C">
      <w:pPr>
        <w:ind w:left="3969"/>
        <w:rPr>
          <w:b/>
        </w:rPr>
      </w:pPr>
      <w:r w:rsidRPr="00533DCE">
        <w:rPr>
          <w:b/>
        </w:rPr>
        <w:t xml:space="preserve">DISPÕE SOBRE A CRIAÇÃO DO SERVIÇO DENOMINADO “SALA CIDADÃO”, NO ÂMBITO DO MUNICÍPIO DE BAYEUX, E DÁ OUTRAS PROVIDÊNCIAS. </w:t>
      </w:r>
    </w:p>
    <w:p w14:paraId="32057F39" w14:textId="77777777" w:rsidR="00533DCE" w:rsidRDefault="00533DCE" w:rsidP="00832B7C">
      <w:pPr>
        <w:ind w:left="3969"/>
      </w:pPr>
    </w:p>
    <w:p w14:paraId="6CE1E217" w14:textId="77777777" w:rsidR="00533DCE" w:rsidRDefault="00533DCE" w:rsidP="00533DCE">
      <w:pPr>
        <w:ind w:left="-426"/>
      </w:pPr>
      <w:r w:rsidRPr="00533DCE">
        <w:rPr>
          <w:b/>
        </w:rPr>
        <w:t>A PREFEITA CONSTITUCIONAL DO MUNICÍPIO DE BAYEUX, ESTADO DA PARAÍBA</w:t>
      </w:r>
      <w:r>
        <w:t xml:space="preserve">, no uso de suas atribuições legais conferidas pelo Art. 45, incisos IV e VI da Lei Orgânica. </w:t>
      </w:r>
    </w:p>
    <w:p w14:paraId="3E1154BB" w14:textId="77777777" w:rsidR="00533DCE" w:rsidRDefault="00533DCE" w:rsidP="00533DCE">
      <w:pPr>
        <w:ind w:left="-426"/>
      </w:pPr>
    </w:p>
    <w:p w14:paraId="39EC66FF" w14:textId="77777777" w:rsidR="00533DCE" w:rsidRDefault="00533DCE" w:rsidP="00533DCE">
      <w:pPr>
        <w:ind w:left="-426"/>
        <w:jc w:val="center"/>
      </w:pPr>
      <w:r>
        <w:t>CAPÍTULO I – DA CRIAÇÃO</w:t>
      </w:r>
    </w:p>
    <w:p w14:paraId="2AA5DAA3" w14:textId="77777777" w:rsidR="00533DCE" w:rsidRDefault="00533DCE" w:rsidP="00533DCE">
      <w:pPr>
        <w:ind w:left="-426"/>
      </w:pPr>
    </w:p>
    <w:p w14:paraId="37C15730" w14:textId="77777777" w:rsidR="00533DCE" w:rsidRDefault="00533DCE" w:rsidP="00533DCE">
      <w:pPr>
        <w:ind w:left="-426"/>
      </w:pPr>
      <w:r>
        <w:t xml:space="preserve"> Art. 1º Fica criado, no âmbito do Município de Bayeux, o serviço denominado Sala Cidadão, com a finalidade de disponibilizar à população, em um único espaço, serviços públicos de documentação e atendimento ao cidadão. </w:t>
      </w:r>
    </w:p>
    <w:p w14:paraId="563AF849" w14:textId="77777777" w:rsidR="00533DCE" w:rsidRDefault="00533DCE" w:rsidP="00533DCE">
      <w:pPr>
        <w:ind w:left="-426"/>
      </w:pPr>
    </w:p>
    <w:p w14:paraId="2F53ED39" w14:textId="7C0803A5" w:rsidR="00533DCE" w:rsidRDefault="00533DCE" w:rsidP="00533DCE">
      <w:pPr>
        <w:ind w:left="-426"/>
        <w:jc w:val="center"/>
      </w:pPr>
      <w:r>
        <w:t>CAPÍTULO II – DOS OBJETIVOS</w:t>
      </w:r>
    </w:p>
    <w:p w14:paraId="11552D42" w14:textId="77777777" w:rsidR="00533DCE" w:rsidRDefault="00533DCE" w:rsidP="00533DCE">
      <w:pPr>
        <w:ind w:left="-426"/>
      </w:pPr>
    </w:p>
    <w:p w14:paraId="0BB5F4CD" w14:textId="77777777" w:rsidR="00533DCE" w:rsidRDefault="00533DCE" w:rsidP="00533DCE">
      <w:pPr>
        <w:ind w:left="-426"/>
      </w:pPr>
      <w:r>
        <w:t xml:space="preserve">Art. 2º A Sala Cidadão tem por objetivos: </w:t>
      </w:r>
    </w:p>
    <w:p w14:paraId="00B3F99D" w14:textId="77777777" w:rsidR="00533DCE" w:rsidRDefault="00533DCE" w:rsidP="00533DCE">
      <w:pPr>
        <w:ind w:left="-426"/>
      </w:pPr>
      <w:r>
        <w:t xml:space="preserve">I – Facilitar o acesso da população aos serviços básicos de documentação civil e cidadania; </w:t>
      </w:r>
    </w:p>
    <w:p w14:paraId="0C8D14CF" w14:textId="77777777" w:rsidR="00533DCE" w:rsidRDefault="00533DCE" w:rsidP="00533DCE">
      <w:pPr>
        <w:ind w:left="-426"/>
      </w:pPr>
      <w:r>
        <w:t xml:space="preserve">II – Promover inclusão social e digital; </w:t>
      </w:r>
    </w:p>
    <w:p w14:paraId="64A688AE" w14:textId="77777777" w:rsidR="00533DCE" w:rsidRDefault="00533DCE" w:rsidP="00533DCE">
      <w:pPr>
        <w:ind w:left="-426"/>
      </w:pPr>
      <w:r>
        <w:t xml:space="preserve">III –Reduzir a burocracia e o tempo de espera para obtenção de documentos; </w:t>
      </w:r>
    </w:p>
    <w:p w14:paraId="31FB04BD" w14:textId="77777777" w:rsidR="00533DCE" w:rsidRDefault="00533DCE" w:rsidP="00533DCE">
      <w:pPr>
        <w:ind w:left="-426"/>
      </w:pPr>
    </w:p>
    <w:p w14:paraId="05F1A419" w14:textId="77777777" w:rsidR="00533DCE" w:rsidRDefault="00533DCE" w:rsidP="00533DCE">
      <w:pPr>
        <w:ind w:left="-426"/>
        <w:jc w:val="right"/>
      </w:pPr>
      <w:r>
        <w:t xml:space="preserve">CAPÍTULO III – DOS SERVIÇOS OFERECIDOS </w:t>
      </w:r>
    </w:p>
    <w:p w14:paraId="50BDEC20" w14:textId="77777777" w:rsidR="00533DCE" w:rsidRDefault="00533DCE" w:rsidP="00533DCE">
      <w:pPr>
        <w:ind w:left="-426"/>
      </w:pPr>
    </w:p>
    <w:p w14:paraId="211867D6" w14:textId="77777777" w:rsidR="00533DCE" w:rsidRDefault="00533DCE" w:rsidP="00533DCE">
      <w:pPr>
        <w:ind w:left="-426"/>
      </w:pPr>
      <w:r>
        <w:t xml:space="preserve">Art. 3º A Sala Cidadão disponibilizará, dentre outros, os seguintes serviços: </w:t>
      </w:r>
    </w:p>
    <w:p w14:paraId="7A181703" w14:textId="77777777" w:rsidR="00533DCE" w:rsidRDefault="00533DCE" w:rsidP="00533DCE">
      <w:pPr>
        <w:ind w:left="-426"/>
      </w:pPr>
      <w:r>
        <w:t xml:space="preserve">I – Emissão de Registro Geral (RG); </w:t>
      </w:r>
    </w:p>
    <w:p w14:paraId="3A3A444A" w14:textId="77777777" w:rsidR="00533DCE" w:rsidRDefault="00533DCE" w:rsidP="00533DCE">
      <w:pPr>
        <w:ind w:left="-426"/>
      </w:pPr>
      <w:r>
        <w:t xml:space="preserve">II– Orientações sobre benefícios sociais; </w:t>
      </w:r>
    </w:p>
    <w:p w14:paraId="796273E2" w14:textId="77777777" w:rsidR="00533DCE" w:rsidRDefault="00533DCE" w:rsidP="00533DCE">
      <w:pPr>
        <w:ind w:left="-426"/>
      </w:pPr>
      <w:r>
        <w:t xml:space="preserve">§ 1º Os serviços poderão ser ampliados conforme convênios ou termos de cooperação técnica firmados com órgãos públicos ou entidades privadas. </w:t>
      </w:r>
    </w:p>
    <w:p w14:paraId="39749C99" w14:textId="77777777" w:rsidR="00533DCE" w:rsidRDefault="00533DCE" w:rsidP="00533DCE">
      <w:pPr>
        <w:ind w:left="-426"/>
      </w:pPr>
      <w:r>
        <w:lastRenderedPageBreak/>
        <w:t xml:space="preserve">§ 2º O Poder Executivo poderá estabelecer escalas de funcionamento e atendimento diferenciado para idosos, gestantes, pessoas com deficiência e demais grupos prioritários. </w:t>
      </w:r>
    </w:p>
    <w:p w14:paraId="5F7D5B1A" w14:textId="77777777" w:rsidR="00533DCE" w:rsidRDefault="00533DCE" w:rsidP="00533DCE">
      <w:pPr>
        <w:ind w:left="-426"/>
      </w:pPr>
    </w:p>
    <w:p w14:paraId="671CDBD8" w14:textId="5A80CA8C" w:rsidR="00533DCE" w:rsidRDefault="00533DCE" w:rsidP="00533DCE">
      <w:pPr>
        <w:ind w:left="-426"/>
        <w:jc w:val="center"/>
      </w:pPr>
      <w:r>
        <w:t>CAPÍTULO IV – DA ESTRUTURA E FUNCIONAMENTO</w:t>
      </w:r>
    </w:p>
    <w:p w14:paraId="5CFE4766" w14:textId="77777777" w:rsidR="00533DCE" w:rsidRDefault="00533DCE" w:rsidP="00533DCE">
      <w:pPr>
        <w:ind w:left="-426"/>
      </w:pPr>
    </w:p>
    <w:p w14:paraId="2205FFBB" w14:textId="77777777" w:rsidR="00533DCE" w:rsidRDefault="00533DCE" w:rsidP="00533DCE">
      <w:pPr>
        <w:ind w:left="-426"/>
      </w:pPr>
      <w:r>
        <w:t xml:space="preserve">Art. 4º A Sala Cidadão poderá funcionar em prédio público municipal ou em espaço disponibilizado pelo Poder Executivo, garantindo estrutura física e tecnológica adequada ao atendimento. </w:t>
      </w:r>
    </w:p>
    <w:p w14:paraId="696FD8A6" w14:textId="77777777" w:rsidR="00533DCE" w:rsidRDefault="00533DCE" w:rsidP="00533DCE">
      <w:pPr>
        <w:ind w:left="-426"/>
      </w:pPr>
    </w:p>
    <w:p w14:paraId="1A8AE37A" w14:textId="77777777" w:rsidR="00533DCE" w:rsidRDefault="00533DCE" w:rsidP="00533DCE">
      <w:pPr>
        <w:ind w:left="-426"/>
      </w:pPr>
      <w:r>
        <w:t>Art. 5º O Poder Executivo fica autorizado a celebrar convênios, termos de cooperação ou parcerias com órgãos da União, do Estado da Paraíba e entidades privadas, para viabilizar a prestação dos</w:t>
      </w:r>
      <w:r>
        <w:t xml:space="preserve"> serviços previstos nesta Lei. </w:t>
      </w:r>
    </w:p>
    <w:p w14:paraId="645B982F" w14:textId="77777777" w:rsidR="00533DCE" w:rsidRDefault="00533DCE" w:rsidP="00533DCE">
      <w:pPr>
        <w:ind w:left="-426"/>
      </w:pPr>
    </w:p>
    <w:p w14:paraId="28EA39C3" w14:textId="77777777" w:rsidR="00533DCE" w:rsidRDefault="00533DCE" w:rsidP="00533DCE">
      <w:pPr>
        <w:ind w:left="-426"/>
      </w:pPr>
      <w:r>
        <w:t xml:space="preserve">Art. 6º O funcionamento da Sala Cidadã será regulamentado por decreto do Poder Executivo, no prazo de até 90 (noventa) dias após a publicação desta Lei, dispondo sobre: </w:t>
      </w:r>
    </w:p>
    <w:p w14:paraId="49794281" w14:textId="77777777" w:rsidR="00533DCE" w:rsidRDefault="00533DCE" w:rsidP="00533DCE">
      <w:pPr>
        <w:ind w:left="-426"/>
      </w:pPr>
      <w:r>
        <w:t xml:space="preserve">I – Horário de atendimento; </w:t>
      </w:r>
    </w:p>
    <w:p w14:paraId="333BF4CD" w14:textId="77777777" w:rsidR="00533DCE" w:rsidRDefault="00533DCE" w:rsidP="00533DCE">
      <w:pPr>
        <w:ind w:left="-426"/>
      </w:pPr>
      <w:r>
        <w:t xml:space="preserve">II – Serviços efetivamente oferecidos; </w:t>
      </w:r>
    </w:p>
    <w:p w14:paraId="79F4F68F" w14:textId="77777777" w:rsidR="00533DCE" w:rsidRDefault="00533DCE" w:rsidP="00533DCE">
      <w:pPr>
        <w:ind w:left="-426"/>
      </w:pPr>
      <w:r>
        <w:t xml:space="preserve">III – Forma de acesso ao atendimento, presencial; </w:t>
      </w:r>
    </w:p>
    <w:p w14:paraId="38BBFBD4" w14:textId="77777777" w:rsidR="00533DCE" w:rsidRDefault="00533DCE" w:rsidP="00533DCE">
      <w:pPr>
        <w:ind w:left="-426"/>
      </w:pPr>
      <w:r>
        <w:t xml:space="preserve">IV – Organização administrativa do serviço. </w:t>
      </w:r>
    </w:p>
    <w:p w14:paraId="318A8A12" w14:textId="77777777" w:rsidR="00533DCE" w:rsidRDefault="00533DCE" w:rsidP="00533DCE">
      <w:pPr>
        <w:ind w:left="-426"/>
      </w:pPr>
    </w:p>
    <w:p w14:paraId="2ADF9A86" w14:textId="19E75592" w:rsidR="00533DCE" w:rsidRDefault="00533DCE" w:rsidP="00533DCE">
      <w:pPr>
        <w:ind w:left="-426"/>
        <w:jc w:val="center"/>
      </w:pPr>
      <w:r>
        <w:t>CAPÍTULO V – DA GESTÃO</w:t>
      </w:r>
    </w:p>
    <w:p w14:paraId="7BAD7701" w14:textId="77777777" w:rsidR="00533DCE" w:rsidRDefault="00533DCE" w:rsidP="00533DCE">
      <w:pPr>
        <w:ind w:left="-426"/>
      </w:pPr>
    </w:p>
    <w:p w14:paraId="48BB65C3" w14:textId="77777777" w:rsidR="00533DCE" w:rsidRDefault="00533DCE" w:rsidP="00533DCE">
      <w:pPr>
        <w:ind w:left="-426"/>
      </w:pPr>
      <w:r>
        <w:t xml:space="preserve">Art. 7º A gestão, coordenação e supervisão da Sala Cidadão ficam atribuídas à Secretaria Municipal de Assistência Social e Segurança Alimentar, que será responsável por: </w:t>
      </w:r>
    </w:p>
    <w:p w14:paraId="07953E79" w14:textId="77777777" w:rsidR="00533DCE" w:rsidRDefault="00533DCE" w:rsidP="00533DCE">
      <w:pPr>
        <w:ind w:left="-426"/>
      </w:pPr>
      <w:r>
        <w:t xml:space="preserve">I – Administrar os recursos humanos, materiais e tecnológicos destinados ao serviço; </w:t>
      </w:r>
    </w:p>
    <w:p w14:paraId="6EABB9F1" w14:textId="77777777" w:rsidR="00533DCE" w:rsidRDefault="00533DCE" w:rsidP="00533DCE">
      <w:pPr>
        <w:ind w:left="-426"/>
      </w:pPr>
      <w:r>
        <w:t xml:space="preserve">II – Garantir o funcionamento adequado do espaço e a qualidade no atendimento à população; III – Promover capacitação continuada dos servidores que atuarem no serviço; </w:t>
      </w:r>
    </w:p>
    <w:p w14:paraId="76AAAB09" w14:textId="77777777" w:rsidR="00533DCE" w:rsidRDefault="00533DCE" w:rsidP="00533DCE">
      <w:pPr>
        <w:ind w:left="-426"/>
      </w:pPr>
      <w:r>
        <w:t xml:space="preserve">IV – Articular parcerias e convênios com órgãos públicos e entidades privadas para ampliação dos serviços ofertados; </w:t>
      </w:r>
    </w:p>
    <w:p w14:paraId="4E46D442" w14:textId="77777777" w:rsidR="00533DCE" w:rsidRDefault="00533DCE" w:rsidP="00533DCE">
      <w:pPr>
        <w:ind w:left="-426"/>
      </w:pPr>
    </w:p>
    <w:p w14:paraId="0E49C0D8" w14:textId="5ACA8D6A" w:rsidR="00533DCE" w:rsidRDefault="00533DCE" w:rsidP="00533DCE">
      <w:pPr>
        <w:ind w:left="-426"/>
        <w:jc w:val="center"/>
      </w:pPr>
      <w:r>
        <w:t>CAPÍTULO VI – DAS DISPOSIÇÕES FINAIS</w:t>
      </w:r>
    </w:p>
    <w:p w14:paraId="1830A665" w14:textId="77777777" w:rsidR="00533DCE" w:rsidRDefault="00533DCE" w:rsidP="00533DCE">
      <w:pPr>
        <w:ind w:left="-426"/>
      </w:pPr>
    </w:p>
    <w:p w14:paraId="1D6C3A0C" w14:textId="77777777" w:rsidR="00533DCE" w:rsidRDefault="00533DCE" w:rsidP="00533DCE">
      <w:pPr>
        <w:ind w:left="-426"/>
      </w:pPr>
      <w:r>
        <w:t xml:space="preserve">Art. 8º As despesas decorrentes da execução da presente Lei correrão por conta de dotações orçamentárias próprias, suplementadas se necessário. </w:t>
      </w:r>
    </w:p>
    <w:p w14:paraId="61D679B5" w14:textId="77777777" w:rsidR="00533DCE" w:rsidRDefault="00533DCE" w:rsidP="00533DCE">
      <w:pPr>
        <w:ind w:left="-426"/>
      </w:pPr>
    </w:p>
    <w:p w14:paraId="00C921BF" w14:textId="5BFBB187" w:rsidR="00533DCE" w:rsidRPr="00832B7C" w:rsidRDefault="00533DCE" w:rsidP="00533DCE">
      <w:pPr>
        <w:ind w:left="-426"/>
        <w:rPr>
          <w:rFonts w:ascii="Times New Roman" w:hAnsi="Times New Roman" w:cs="Times New Roman"/>
        </w:rPr>
      </w:pPr>
      <w:r>
        <w:lastRenderedPageBreak/>
        <w:t>Art. 9º Esta Lei entra em vigor na data de sua publicação</w:t>
      </w:r>
    </w:p>
    <w:p w14:paraId="42ACDFC6" w14:textId="77777777" w:rsidR="00832B7C" w:rsidRDefault="00832B7C" w:rsidP="00832B7C">
      <w:pPr>
        <w:widowControl w:val="0"/>
        <w:autoSpaceDE w:val="0"/>
        <w:autoSpaceDN w:val="0"/>
        <w:spacing w:after="0" w:line="240" w:lineRule="auto"/>
        <w:ind w:left="566"/>
        <w:rPr>
          <w:rFonts w:ascii="Calibri" w:eastAsia="Calibri" w:hAnsi="Calibri" w:cs="Calibri"/>
          <w:b/>
          <w:bCs/>
          <w:lang w:val="pt-PT"/>
        </w:rPr>
      </w:pPr>
    </w:p>
    <w:p w14:paraId="7D117A75" w14:textId="42C738A3" w:rsidR="00832B7C" w:rsidRDefault="00533DCE" w:rsidP="00832B7C">
      <w:pPr>
        <w:pStyle w:val="Corpodetexto"/>
        <w:spacing w:before="240"/>
        <w:ind w:left="1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Bayeux, 12</w:t>
      </w:r>
      <w:bookmarkStart w:id="0" w:name="_GoBack"/>
      <w:bookmarkEnd w:id="0"/>
      <w:r w:rsidR="00832B7C" w:rsidRPr="00832B7C">
        <w:rPr>
          <w:rFonts w:ascii="Times New Roman" w:hAnsi="Times New Roman" w:cs="Times New Roman"/>
        </w:rPr>
        <w:t xml:space="preserve"> de novembro de 2025</w:t>
      </w:r>
    </w:p>
    <w:p w14:paraId="15901F9C" w14:textId="77777777" w:rsidR="00832B7C" w:rsidRPr="00832B7C" w:rsidRDefault="00832B7C" w:rsidP="00832B7C">
      <w:pPr>
        <w:pStyle w:val="Corpodetexto"/>
        <w:spacing w:before="240"/>
        <w:ind w:left="126"/>
        <w:jc w:val="center"/>
        <w:rPr>
          <w:rFonts w:ascii="Times New Roman" w:hAnsi="Times New Roman" w:cs="Times New Roman"/>
        </w:rPr>
      </w:pPr>
    </w:p>
    <w:p w14:paraId="1B76D7E2" w14:textId="77777777" w:rsidR="00832B7C" w:rsidRPr="00832B7C" w:rsidRDefault="00832B7C" w:rsidP="00832B7C">
      <w:pPr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1312" behindDoc="0" locked="0" layoutInCell="1" allowOverlap="1" wp14:anchorId="47D6E760" wp14:editId="1A772FE2">
            <wp:simplePos x="0" y="0"/>
            <wp:positionH relativeFrom="column">
              <wp:posOffset>2466975</wp:posOffset>
            </wp:positionH>
            <wp:positionV relativeFrom="paragraph">
              <wp:posOffset>8255</wp:posOffset>
            </wp:positionV>
            <wp:extent cx="942975" cy="594440"/>
            <wp:effectExtent l="0" t="0" r="0" b="0"/>
            <wp:wrapNone/>
            <wp:docPr id="4290" name="Imagem 4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inatura Adriano Martin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59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4B4E5" w14:textId="77777777" w:rsidR="00832B7C" w:rsidRPr="00832B7C" w:rsidRDefault="00832B7C" w:rsidP="00832B7C">
      <w:pPr>
        <w:rPr>
          <w:rFonts w:ascii="Times New Roman" w:hAnsi="Times New Roman" w:cs="Times New Roman"/>
        </w:rPr>
      </w:pPr>
    </w:p>
    <w:p w14:paraId="1BDC8D16" w14:textId="77777777" w:rsidR="00832B7C" w:rsidRPr="00832B7C" w:rsidRDefault="00832B7C" w:rsidP="00832B7C">
      <w:pPr>
        <w:spacing w:after="120"/>
        <w:ind w:hanging="2"/>
        <w:contextualSpacing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</w:rPr>
        <w:t>Adriano Martins de Lima</w:t>
      </w:r>
    </w:p>
    <w:p w14:paraId="771D3AF0" w14:textId="77777777" w:rsidR="00832B7C" w:rsidRPr="00832B7C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</w:rPr>
        <w:t>Presidente</w:t>
      </w:r>
    </w:p>
    <w:p w14:paraId="376B0100" w14:textId="77777777" w:rsidR="00832B7C" w:rsidRPr="00832B7C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6974BB0E" wp14:editId="3E38ECA4">
            <wp:simplePos x="0" y="0"/>
            <wp:positionH relativeFrom="column">
              <wp:posOffset>631825</wp:posOffset>
            </wp:positionH>
            <wp:positionV relativeFrom="paragraph">
              <wp:posOffset>144145</wp:posOffset>
            </wp:positionV>
            <wp:extent cx="1901190" cy="365983"/>
            <wp:effectExtent l="0" t="0" r="0" b="0"/>
            <wp:wrapNone/>
            <wp:docPr id="4378" name="Imagem 4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" name="Assinatura Jefferson Oliveir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36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B7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8DB2047" wp14:editId="79720F51">
            <wp:simplePos x="0" y="0"/>
            <wp:positionH relativeFrom="column">
              <wp:posOffset>3903980</wp:posOffset>
            </wp:positionH>
            <wp:positionV relativeFrom="paragraph">
              <wp:posOffset>19050</wp:posOffset>
            </wp:positionV>
            <wp:extent cx="952500" cy="562031"/>
            <wp:effectExtent l="0" t="0" r="0" b="9525"/>
            <wp:wrapNone/>
            <wp:docPr id="4377" name="Imagem 4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" name="Assinatura Rosiene Sarinh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62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22190" w14:textId="77777777" w:rsidR="00832B7C" w:rsidRPr="00832B7C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</w:p>
    <w:p w14:paraId="159E4C82" w14:textId="77777777" w:rsidR="00832B7C" w:rsidRPr="00832B7C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</w:rPr>
        <w:t>Jefferson de Oliveira Freitas</w:t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  <w:t>Rosiene Sarinho Soares Ribeiro</w:t>
      </w:r>
    </w:p>
    <w:p w14:paraId="318DB0CC" w14:textId="66FA2FA0" w:rsidR="00E14CE6" w:rsidRPr="00832B7C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832B7C">
        <w:rPr>
          <w:rFonts w:ascii="Times New Roman" w:hAnsi="Times New Roman" w:cs="Times New Roman"/>
        </w:rPr>
        <w:t>1º Secretário</w:t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</w:r>
      <w:r w:rsidRPr="00832B7C">
        <w:rPr>
          <w:rFonts w:ascii="Times New Roman" w:hAnsi="Times New Roman" w:cs="Times New Roman"/>
        </w:rPr>
        <w:tab/>
        <w:t xml:space="preserve">     2ª Secretária</w:t>
      </w:r>
    </w:p>
    <w:sectPr w:rsidR="00E14CE6" w:rsidRPr="00832B7C" w:rsidSect="00A10F0C">
      <w:headerReference w:type="default" r:id="rId11"/>
      <w:footerReference w:type="default" r:id="rId12"/>
      <w:headerReference w:type="first" r:id="rId13"/>
      <w:pgSz w:w="11906" w:h="16838"/>
      <w:pgMar w:top="360" w:right="1701" w:bottom="1417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9B3C95" w14:textId="77777777" w:rsidR="00E413C4" w:rsidRDefault="00E413C4" w:rsidP="002571D9">
      <w:pPr>
        <w:spacing w:after="0" w:line="240" w:lineRule="auto"/>
      </w:pPr>
      <w:r>
        <w:separator/>
      </w:r>
    </w:p>
  </w:endnote>
  <w:endnote w:type="continuationSeparator" w:id="0">
    <w:p w14:paraId="31DD627D" w14:textId="77777777" w:rsidR="00E413C4" w:rsidRDefault="00E413C4" w:rsidP="00257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F4764" w14:textId="77777777" w:rsidR="007030D1" w:rsidRDefault="007030D1">
    <w:pPr>
      <w:pStyle w:val="Rodap"/>
    </w:pPr>
  </w:p>
  <w:p w14:paraId="6899D232" w14:textId="25A63B68" w:rsidR="009609C1" w:rsidRDefault="009609C1" w:rsidP="009609C1">
    <w:pPr>
      <w:pStyle w:val="Rodap"/>
    </w:pPr>
  </w:p>
  <w:p w14:paraId="55094A2D" w14:textId="77777777" w:rsidR="007030D1" w:rsidRDefault="007030D1">
    <w:pPr>
      <w:pStyle w:val="Rodap"/>
    </w:pPr>
  </w:p>
  <w:p w14:paraId="4E0A805A" w14:textId="531008CA" w:rsidR="002571D9" w:rsidRDefault="002571D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919087" w14:textId="77777777" w:rsidR="00E413C4" w:rsidRDefault="00E413C4" w:rsidP="002571D9">
      <w:pPr>
        <w:spacing w:after="0" w:line="240" w:lineRule="auto"/>
      </w:pPr>
      <w:r>
        <w:separator/>
      </w:r>
    </w:p>
  </w:footnote>
  <w:footnote w:type="continuationSeparator" w:id="0">
    <w:p w14:paraId="7A27EFF1" w14:textId="77777777" w:rsidR="00E413C4" w:rsidRDefault="00E413C4" w:rsidP="00257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6D4C2" w14:textId="7512C5E0" w:rsidR="002571D9" w:rsidRDefault="00D67E8E">
    <w:pPr>
      <w:pStyle w:val="Cabealho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C3E2978" wp14:editId="56B089A5">
          <wp:simplePos x="0" y="0"/>
          <wp:positionH relativeFrom="column">
            <wp:posOffset>-1080136</wp:posOffset>
          </wp:positionH>
          <wp:positionV relativeFrom="paragraph">
            <wp:posOffset>-468630</wp:posOffset>
          </wp:positionV>
          <wp:extent cx="7583493" cy="10725150"/>
          <wp:effectExtent l="0" t="0" r="0" b="0"/>
          <wp:wrapNone/>
          <wp:docPr id="24" name="Imagem 2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532" cy="10740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08E7DC" w14:textId="3B700563" w:rsidR="00FE0DC1" w:rsidRDefault="00FE0DC1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8B8513" wp14:editId="0C5206B1">
          <wp:simplePos x="0" y="0"/>
          <wp:positionH relativeFrom="column">
            <wp:posOffset>-1076325</wp:posOffset>
          </wp:positionH>
          <wp:positionV relativeFrom="paragraph">
            <wp:posOffset>-467360</wp:posOffset>
          </wp:positionV>
          <wp:extent cx="7581900" cy="10722896"/>
          <wp:effectExtent l="0" t="0" r="0" b="2540"/>
          <wp:wrapNone/>
          <wp:docPr id="25" name="Imagem 25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22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95FB7"/>
    <w:multiLevelType w:val="multilevel"/>
    <w:tmpl w:val="96AA9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" w15:restartNumberingAfterBreak="0">
    <w:nsid w:val="05634DFE"/>
    <w:multiLevelType w:val="multilevel"/>
    <w:tmpl w:val="9B5A3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692221"/>
    <w:multiLevelType w:val="multilevel"/>
    <w:tmpl w:val="050AD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92426D"/>
    <w:multiLevelType w:val="multilevel"/>
    <w:tmpl w:val="139E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B45BB"/>
    <w:multiLevelType w:val="multilevel"/>
    <w:tmpl w:val="BC024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013C82"/>
    <w:multiLevelType w:val="multilevel"/>
    <w:tmpl w:val="1888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152392"/>
    <w:multiLevelType w:val="multilevel"/>
    <w:tmpl w:val="C542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E927FE"/>
    <w:multiLevelType w:val="hybridMultilevel"/>
    <w:tmpl w:val="AB52E4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E41763"/>
    <w:multiLevelType w:val="multilevel"/>
    <w:tmpl w:val="1310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E778BD"/>
    <w:multiLevelType w:val="multilevel"/>
    <w:tmpl w:val="4CA6C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4A5B24"/>
    <w:multiLevelType w:val="multilevel"/>
    <w:tmpl w:val="6192A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3429A0"/>
    <w:multiLevelType w:val="multilevel"/>
    <w:tmpl w:val="1158D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A766F2"/>
    <w:multiLevelType w:val="multilevel"/>
    <w:tmpl w:val="58C6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4F2F02"/>
    <w:multiLevelType w:val="multilevel"/>
    <w:tmpl w:val="2516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E03621"/>
    <w:multiLevelType w:val="multilevel"/>
    <w:tmpl w:val="C0A06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C92E83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5EEA02AB"/>
    <w:multiLevelType w:val="multilevel"/>
    <w:tmpl w:val="1C764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343BAF"/>
    <w:multiLevelType w:val="multilevel"/>
    <w:tmpl w:val="D8F0E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4D36E9"/>
    <w:multiLevelType w:val="multilevel"/>
    <w:tmpl w:val="0D640B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0"/>
      </w:rPr>
    </w:lvl>
  </w:abstractNum>
  <w:abstractNum w:abstractNumId="19" w15:restartNumberingAfterBreak="0">
    <w:nsid w:val="7B8B638D"/>
    <w:multiLevelType w:val="multilevel"/>
    <w:tmpl w:val="B5A4F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275F18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3"/>
  </w:num>
  <w:num w:numId="2">
    <w:abstractNumId w:val="9"/>
  </w:num>
  <w:num w:numId="3">
    <w:abstractNumId w:val="14"/>
  </w:num>
  <w:num w:numId="4">
    <w:abstractNumId w:val="18"/>
  </w:num>
  <w:num w:numId="5">
    <w:abstractNumId w:val="12"/>
  </w:num>
  <w:num w:numId="6">
    <w:abstractNumId w:val="11"/>
  </w:num>
  <w:num w:numId="7">
    <w:abstractNumId w:val="0"/>
  </w:num>
  <w:num w:numId="8">
    <w:abstractNumId w:val="7"/>
  </w:num>
  <w:num w:numId="9">
    <w:abstractNumId w:val="15"/>
  </w:num>
  <w:num w:numId="10">
    <w:abstractNumId w:val="20"/>
  </w:num>
  <w:num w:numId="11">
    <w:abstractNumId w:val="2"/>
  </w:num>
  <w:num w:numId="12">
    <w:abstractNumId w:val="16"/>
  </w:num>
  <w:num w:numId="13">
    <w:abstractNumId w:val="10"/>
  </w:num>
  <w:num w:numId="14">
    <w:abstractNumId w:val="5"/>
  </w:num>
  <w:num w:numId="15">
    <w:abstractNumId w:val="4"/>
  </w:num>
  <w:num w:numId="16">
    <w:abstractNumId w:val="13"/>
  </w:num>
  <w:num w:numId="17">
    <w:abstractNumId w:val="17"/>
  </w:num>
  <w:num w:numId="18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>
    <w:abstractNumId w:val="6"/>
  </w:num>
  <w:num w:numId="21">
    <w:abstractNumId w:val="19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2E9"/>
    <w:rsid w:val="0000418E"/>
    <w:rsid w:val="00004574"/>
    <w:rsid w:val="00040FE9"/>
    <w:rsid w:val="000541F6"/>
    <w:rsid w:val="0008360E"/>
    <w:rsid w:val="00087092"/>
    <w:rsid w:val="000D648F"/>
    <w:rsid w:val="0014742D"/>
    <w:rsid w:val="00152A9A"/>
    <w:rsid w:val="001546BE"/>
    <w:rsid w:val="0017314E"/>
    <w:rsid w:val="00174E86"/>
    <w:rsid w:val="00175C19"/>
    <w:rsid w:val="001A6633"/>
    <w:rsid w:val="001D5D5E"/>
    <w:rsid w:val="001E0B14"/>
    <w:rsid w:val="00202A0A"/>
    <w:rsid w:val="0020615F"/>
    <w:rsid w:val="002571D9"/>
    <w:rsid w:val="00270C3E"/>
    <w:rsid w:val="00271C2E"/>
    <w:rsid w:val="003242E9"/>
    <w:rsid w:val="00446D1D"/>
    <w:rsid w:val="0046132D"/>
    <w:rsid w:val="004B7AAF"/>
    <w:rsid w:val="004C5418"/>
    <w:rsid w:val="0050377B"/>
    <w:rsid w:val="005202DC"/>
    <w:rsid w:val="00533DCE"/>
    <w:rsid w:val="00591699"/>
    <w:rsid w:val="005C5271"/>
    <w:rsid w:val="00633161"/>
    <w:rsid w:val="00644B2F"/>
    <w:rsid w:val="006606CC"/>
    <w:rsid w:val="006758C3"/>
    <w:rsid w:val="006C08D4"/>
    <w:rsid w:val="007030D1"/>
    <w:rsid w:val="00773C93"/>
    <w:rsid w:val="007929C3"/>
    <w:rsid w:val="007F5E6A"/>
    <w:rsid w:val="00832B7C"/>
    <w:rsid w:val="00871B13"/>
    <w:rsid w:val="00891179"/>
    <w:rsid w:val="008A44AF"/>
    <w:rsid w:val="008C16ED"/>
    <w:rsid w:val="008D77B8"/>
    <w:rsid w:val="008E426D"/>
    <w:rsid w:val="0091673A"/>
    <w:rsid w:val="00926F5B"/>
    <w:rsid w:val="00931245"/>
    <w:rsid w:val="009609C1"/>
    <w:rsid w:val="00962D47"/>
    <w:rsid w:val="0098093F"/>
    <w:rsid w:val="00981BB6"/>
    <w:rsid w:val="00983C69"/>
    <w:rsid w:val="009A15FA"/>
    <w:rsid w:val="00A10F0C"/>
    <w:rsid w:val="00A40C71"/>
    <w:rsid w:val="00A652A8"/>
    <w:rsid w:val="00A658BC"/>
    <w:rsid w:val="00A757FB"/>
    <w:rsid w:val="00A76EA0"/>
    <w:rsid w:val="00AB0A09"/>
    <w:rsid w:val="00AC0FC2"/>
    <w:rsid w:val="00AE38D9"/>
    <w:rsid w:val="00B61DA8"/>
    <w:rsid w:val="00BA4221"/>
    <w:rsid w:val="00C8047F"/>
    <w:rsid w:val="00CB5BA6"/>
    <w:rsid w:val="00CD66B7"/>
    <w:rsid w:val="00CE0E99"/>
    <w:rsid w:val="00CF21F8"/>
    <w:rsid w:val="00CF2B18"/>
    <w:rsid w:val="00CF5E58"/>
    <w:rsid w:val="00D06EA0"/>
    <w:rsid w:val="00D32B10"/>
    <w:rsid w:val="00D56864"/>
    <w:rsid w:val="00D672D8"/>
    <w:rsid w:val="00D67E8E"/>
    <w:rsid w:val="00D97865"/>
    <w:rsid w:val="00DA6D83"/>
    <w:rsid w:val="00DC59C6"/>
    <w:rsid w:val="00DD3AE9"/>
    <w:rsid w:val="00E14CE6"/>
    <w:rsid w:val="00E25DD3"/>
    <w:rsid w:val="00E413C4"/>
    <w:rsid w:val="00EB15F6"/>
    <w:rsid w:val="00EE4DF7"/>
    <w:rsid w:val="00EF1898"/>
    <w:rsid w:val="00F313E1"/>
    <w:rsid w:val="00F341B2"/>
    <w:rsid w:val="00FD6763"/>
    <w:rsid w:val="00FD697B"/>
    <w:rsid w:val="00FE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5A77AF"/>
  <w15:chartTrackingRefBased/>
  <w15:docId w15:val="{612BDB03-0E6B-4E9F-824F-99AFA960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179"/>
    <w:pPr>
      <w:spacing w:after="4" w:line="358" w:lineRule="auto"/>
      <w:ind w:left="10" w:hanging="10"/>
      <w:jc w:val="both"/>
    </w:pPr>
    <w:rPr>
      <w:rFonts w:ascii="Garamond" w:eastAsia="Garamond" w:hAnsi="Garamond" w:cs="Garamond"/>
      <w:color w:val="00000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42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242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242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242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242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242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242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242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242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242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3242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3242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242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242E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242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242E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242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242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242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242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242E9"/>
    <w:pPr>
      <w:numPr>
        <w:ilvl w:val="1"/>
      </w:numPr>
      <w:ind w:left="10" w:hanging="1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242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242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242E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242E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242E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242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242E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242E9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71D9"/>
  </w:style>
  <w:style w:type="paragraph" w:styleId="Rodap">
    <w:name w:val="footer"/>
    <w:basedOn w:val="Normal"/>
    <w:link w:val="Rodap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71D9"/>
  </w:style>
  <w:style w:type="character" w:styleId="TextodoEspaoReservado">
    <w:name w:val="Placeholder Text"/>
    <w:basedOn w:val="Fontepargpadro"/>
    <w:uiPriority w:val="99"/>
    <w:semiHidden/>
    <w:rsid w:val="007030D1"/>
    <w:rPr>
      <w:color w:val="666666"/>
    </w:rPr>
  </w:style>
  <w:style w:type="character" w:styleId="Forte">
    <w:name w:val="Strong"/>
    <w:basedOn w:val="Fontepargpadro"/>
    <w:uiPriority w:val="22"/>
    <w:qFormat/>
    <w:rsid w:val="00891179"/>
    <w:rPr>
      <w:b/>
      <w:bCs/>
    </w:rPr>
  </w:style>
  <w:style w:type="paragraph" w:styleId="NormalWeb">
    <w:name w:val="Normal (Web)"/>
    <w:basedOn w:val="Normal"/>
    <w:uiPriority w:val="99"/>
    <w:unhideWhenUsed/>
    <w:rsid w:val="00891179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kern w:val="0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832B7C"/>
    <w:pPr>
      <w:widowControl w:val="0"/>
      <w:autoSpaceDE w:val="0"/>
      <w:autoSpaceDN w:val="0"/>
      <w:spacing w:after="0" w:line="240" w:lineRule="auto"/>
      <w:ind w:left="140" w:firstLine="0"/>
      <w:jc w:val="left"/>
    </w:pPr>
    <w:rPr>
      <w:rFonts w:ascii="Calibri" w:eastAsia="Calibri" w:hAnsi="Calibri" w:cs="Calibri"/>
      <w:color w:val="auto"/>
      <w:kern w:val="0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832B7C"/>
    <w:rPr>
      <w:rFonts w:ascii="Calibri" w:eastAsia="Calibri" w:hAnsi="Calibri" w:cs="Calibri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EEC606-9DCA-4693-B47B-1727CCBB3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497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Usuário do Windows</cp:lastModifiedBy>
  <cp:revision>2</cp:revision>
  <dcterms:created xsi:type="dcterms:W3CDTF">2025-11-12T13:24:00Z</dcterms:created>
  <dcterms:modified xsi:type="dcterms:W3CDTF">2025-11-12T13:24:00Z</dcterms:modified>
</cp:coreProperties>
</file>