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2689C5" w14:textId="77777777" w:rsidR="00383013" w:rsidRPr="00FD6437" w:rsidRDefault="00383013" w:rsidP="00383013">
      <w:pPr>
        <w:pStyle w:val="NormalWeb"/>
        <w:spacing w:before="0" w:beforeAutospacing="0" w:after="0" w:afterAutospacing="0" w:line="360" w:lineRule="auto"/>
        <w:jc w:val="both"/>
        <w:rPr>
          <w:b/>
          <w:bCs/>
          <w:color w:val="000000" w:themeColor="text1"/>
        </w:rPr>
      </w:pPr>
      <w:r w:rsidRPr="00FD6437">
        <w:rPr>
          <w:b/>
          <w:bCs/>
          <w:color w:val="000000" w:themeColor="text1"/>
        </w:rPr>
        <w:t>PROJETO DE LEI Nº 000/2025</w:t>
      </w:r>
    </w:p>
    <w:p w14:paraId="44803258" w14:textId="30095B73" w:rsidR="00383013" w:rsidRPr="00FD6437" w:rsidRDefault="00383013" w:rsidP="00383013">
      <w:pPr>
        <w:pStyle w:val="NormalWeb"/>
        <w:spacing w:before="0" w:beforeAutospacing="0" w:after="0" w:afterAutospacing="0" w:line="360" w:lineRule="auto"/>
        <w:jc w:val="both"/>
        <w:rPr>
          <w:b/>
          <w:bCs/>
          <w:color w:val="000000" w:themeColor="text1"/>
        </w:rPr>
      </w:pPr>
      <w:r w:rsidRPr="00FD6437">
        <w:rPr>
          <w:b/>
          <w:bCs/>
          <w:color w:val="000000" w:themeColor="text1"/>
        </w:rPr>
        <w:t>Autoria: Vereador</w:t>
      </w:r>
      <w:r w:rsidR="00FD6437">
        <w:rPr>
          <w:b/>
          <w:bCs/>
          <w:color w:val="000000" w:themeColor="text1"/>
        </w:rPr>
        <w:t xml:space="preserve"> Wagner do Grau</w:t>
      </w:r>
      <w:r w:rsidR="000F7489">
        <w:rPr>
          <w:b/>
          <w:bCs/>
          <w:color w:val="000000" w:themeColor="text1"/>
        </w:rPr>
        <w:t xml:space="preserve"> – PSD </w:t>
      </w:r>
    </w:p>
    <w:p w14:paraId="05182367" w14:textId="77777777" w:rsidR="00383013" w:rsidRPr="00917A94" w:rsidRDefault="00383013" w:rsidP="00383013">
      <w:pPr>
        <w:pStyle w:val="NormalWeb"/>
        <w:spacing w:before="0" w:beforeAutospacing="0" w:after="0" w:afterAutospacing="0" w:line="360" w:lineRule="auto"/>
        <w:jc w:val="both"/>
        <w:rPr>
          <w:b/>
          <w:bCs/>
        </w:rPr>
      </w:pPr>
    </w:p>
    <w:p w14:paraId="5C4DB96E" w14:textId="77777777" w:rsidR="00FD6437" w:rsidRDefault="00FD6437" w:rsidP="0031008C">
      <w:pPr>
        <w:pStyle w:val="NormalWeb"/>
        <w:spacing w:before="0" w:beforeAutospacing="0" w:after="0" w:afterAutospacing="0" w:line="276" w:lineRule="auto"/>
        <w:ind w:left="3261"/>
        <w:jc w:val="both"/>
        <w:rPr>
          <w:b/>
          <w:bCs/>
          <w:color w:val="000000" w:themeColor="text1"/>
        </w:rPr>
      </w:pPr>
      <w:r w:rsidRPr="00FD6437">
        <w:rPr>
          <w:b/>
          <w:bCs/>
          <w:color w:val="000000" w:themeColor="text1"/>
        </w:rPr>
        <w:t>EMENTA: INSTITUI A POLÍTICA MUNICIPAL DE PROTEÇÃO DOS DIREITOS DA PESSOA COM TRANSTORNO DO DÉFICIT DE ATENÇÃO COM HIPERATIVIDADE (TDAH), DISLEXIA, TRANSTORNO AFETIVO BIPOLAR (TAB) E TRANSTORNO DE PERSONALIDADE BORDERLINE (TPB), RECONHECE-OS COMO DEFICIÊNCIA PARA TODOS OS EFEITOS LEGAIS NO ÂMBITO DO MUNICÍPIO DE BAYEUX, CRIA DIRETRIZES E DÁ OUTRAS PROVIDÊNCIAS.</w:t>
      </w:r>
    </w:p>
    <w:p w14:paraId="3CDFAF8A" w14:textId="77777777" w:rsidR="00FD6437" w:rsidRPr="00FD6437" w:rsidRDefault="00FD6437" w:rsidP="00FD6437">
      <w:pPr>
        <w:pStyle w:val="NormalWeb"/>
        <w:spacing w:before="0" w:beforeAutospacing="0" w:after="0" w:afterAutospacing="0" w:line="360" w:lineRule="auto"/>
        <w:ind w:left="3261"/>
        <w:jc w:val="both"/>
        <w:rPr>
          <w:b/>
          <w:bCs/>
          <w:color w:val="000000" w:themeColor="text1"/>
        </w:rPr>
      </w:pPr>
    </w:p>
    <w:p w14:paraId="30CA8F1F" w14:textId="169C7A74" w:rsidR="00FD6437" w:rsidRPr="00FD6437" w:rsidRDefault="00FD6437" w:rsidP="00FD6437">
      <w:pPr>
        <w:pStyle w:val="NormalWeb"/>
        <w:spacing w:before="0" w:beforeAutospacing="0" w:after="0" w:afterAutospacing="0" w:line="360" w:lineRule="auto"/>
        <w:ind w:firstLine="708"/>
        <w:jc w:val="both"/>
        <w:rPr>
          <w:bCs/>
          <w:color w:val="000000" w:themeColor="text1"/>
        </w:rPr>
      </w:pPr>
      <w:r w:rsidRPr="00FD6437">
        <w:rPr>
          <w:b/>
          <w:bCs/>
          <w:color w:val="000000" w:themeColor="text1"/>
        </w:rPr>
        <w:t>Art. 1º</w:t>
      </w:r>
      <w:r w:rsidRPr="00FD6437">
        <w:rPr>
          <w:bCs/>
          <w:color w:val="000000" w:themeColor="text1"/>
        </w:rPr>
        <w:t xml:space="preserve"> Fica reconhecido, no âmbito do Município de Bayeux, que as pessoas com Transtorno do Déficit de Atenção com Hiperatividade (TDAH), Dislexia, Transtorno Afetivo Bipolar (TAB) e Transtorno de Personalidade Borderline (TPB) são consideradas pessoas com deficiência, para todos os efeitos legais</w:t>
      </w:r>
      <w:r w:rsidR="0031008C">
        <w:rPr>
          <w:bCs/>
          <w:color w:val="000000" w:themeColor="text1"/>
        </w:rPr>
        <w:t>.</w:t>
      </w:r>
    </w:p>
    <w:p w14:paraId="65E15D58" w14:textId="77777777" w:rsidR="00FD6437" w:rsidRPr="00FD6437" w:rsidRDefault="00FD6437" w:rsidP="006D1021">
      <w:pPr>
        <w:pStyle w:val="NormalWeb"/>
        <w:spacing w:before="0" w:beforeAutospacing="0" w:after="0" w:afterAutospacing="0" w:line="360" w:lineRule="auto"/>
        <w:ind w:firstLine="708"/>
        <w:jc w:val="both"/>
        <w:rPr>
          <w:bCs/>
          <w:color w:val="000000" w:themeColor="text1"/>
        </w:rPr>
      </w:pPr>
      <w:r w:rsidRPr="00FD6437">
        <w:rPr>
          <w:b/>
          <w:color w:val="000000" w:themeColor="text1"/>
        </w:rPr>
        <w:t>§ 1º</w:t>
      </w:r>
      <w:r w:rsidRPr="00FD6437">
        <w:rPr>
          <w:bCs/>
          <w:color w:val="000000" w:themeColor="text1"/>
        </w:rPr>
        <w:t xml:space="preserve"> Para os efeitos desta Lei, considera-se pessoa com TDAH, Dislexia, TAB ou TPB aquela diagnosticada por profissional legalmente habilitado, que utilize os critérios estabelecidos pela Classificação Internacional de Doenças (CID) da Organização Mundial da Saúde ou pelo Manual Diagnóstico e Estatístico de Transtornos Mentais (DSM) da Associação Americana de Psiquiatria, observando-se:</w:t>
      </w:r>
    </w:p>
    <w:p w14:paraId="575BEC15" w14:textId="477D1D6A" w:rsidR="00FD6437" w:rsidRDefault="00FD6437" w:rsidP="00F23862">
      <w:pPr>
        <w:pStyle w:val="NormalWeb"/>
        <w:spacing w:before="0" w:beforeAutospacing="0" w:after="0" w:afterAutospacing="0" w:line="360" w:lineRule="auto"/>
        <w:ind w:firstLine="708"/>
        <w:jc w:val="both"/>
        <w:rPr>
          <w:bCs/>
          <w:color w:val="000000" w:themeColor="text1"/>
        </w:rPr>
      </w:pPr>
      <w:r w:rsidRPr="00F23862">
        <w:rPr>
          <w:b/>
          <w:color w:val="000000" w:themeColor="text1"/>
        </w:rPr>
        <w:t>I - Transtorno</w:t>
      </w:r>
      <w:r w:rsidRPr="00FD6437">
        <w:rPr>
          <w:b/>
          <w:bCs/>
          <w:color w:val="000000" w:themeColor="text1"/>
        </w:rPr>
        <w:t xml:space="preserve"> do Déficit de Atenção com Hiperatividade (TDAH):</w:t>
      </w:r>
      <w:r w:rsidRPr="00FD6437">
        <w:rPr>
          <w:bCs/>
          <w:color w:val="000000" w:themeColor="text1"/>
        </w:rPr>
        <w:t xml:space="preserve"> o transtorno neuropsiquiátrico caracterizado por desatenção, hiperatividade e impulsividade, conforme a Classificação Internacional de Doenças (CID) ou a quinta edição do Manual Diagnóstico e Estatístico de Transtornos Mentais (DSM-5); </w:t>
      </w:r>
    </w:p>
    <w:p w14:paraId="57F17F1C" w14:textId="77777777" w:rsidR="00FD6437" w:rsidRDefault="00FD6437" w:rsidP="00F23862">
      <w:pPr>
        <w:pStyle w:val="NormalWeb"/>
        <w:spacing w:before="0" w:beforeAutospacing="0" w:after="0" w:afterAutospacing="0" w:line="360" w:lineRule="auto"/>
        <w:ind w:firstLine="708"/>
        <w:jc w:val="both"/>
        <w:rPr>
          <w:bCs/>
          <w:color w:val="000000" w:themeColor="text1"/>
        </w:rPr>
      </w:pPr>
      <w:r w:rsidRPr="00FD6437">
        <w:rPr>
          <w:b/>
          <w:color w:val="000000" w:themeColor="text1"/>
        </w:rPr>
        <w:t>II -</w:t>
      </w:r>
      <w:r w:rsidRPr="00FD6437">
        <w:rPr>
          <w:bCs/>
          <w:color w:val="000000" w:themeColor="text1"/>
        </w:rPr>
        <w:t xml:space="preserve"> </w:t>
      </w:r>
      <w:r w:rsidRPr="00FD6437">
        <w:rPr>
          <w:b/>
          <w:bCs/>
          <w:color w:val="000000" w:themeColor="text1"/>
        </w:rPr>
        <w:t>Dislexia:</w:t>
      </w:r>
      <w:r w:rsidRPr="00FD6437">
        <w:rPr>
          <w:bCs/>
          <w:color w:val="000000" w:themeColor="text1"/>
        </w:rPr>
        <w:t xml:space="preserve"> o transtorno específico de aprendizagem caracterizado por dificuldades na leitura e escrita, conforme CID-10 (código F81.0) ou DSM-5; </w:t>
      </w:r>
    </w:p>
    <w:p w14:paraId="6CD54D7A" w14:textId="77777777" w:rsidR="00975960" w:rsidRDefault="00FD6437" w:rsidP="00F23862">
      <w:pPr>
        <w:pStyle w:val="NormalWeb"/>
        <w:spacing w:before="0" w:beforeAutospacing="0" w:after="0" w:afterAutospacing="0" w:line="360" w:lineRule="auto"/>
        <w:ind w:firstLine="708"/>
        <w:jc w:val="both"/>
        <w:rPr>
          <w:bCs/>
          <w:color w:val="000000" w:themeColor="text1"/>
        </w:rPr>
      </w:pPr>
      <w:r w:rsidRPr="00FD6437">
        <w:rPr>
          <w:b/>
          <w:color w:val="000000" w:themeColor="text1"/>
        </w:rPr>
        <w:t>III -</w:t>
      </w:r>
      <w:r w:rsidRPr="00FD6437">
        <w:rPr>
          <w:bCs/>
          <w:color w:val="000000" w:themeColor="text1"/>
        </w:rPr>
        <w:t xml:space="preserve"> </w:t>
      </w:r>
      <w:r w:rsidRPr="00FD6437">
        <w:rPr>
          <w:b/>
          <w:bCs/>
          <w:color w:val="000000" w:themeColor="text1"/>
        </w:rPr>
        <w:t>Transtorno Afetivo Bipolar (TAB):</w:t>
      </w:r>
      <w:r w:rsidRPr="00FD6437">
        <w:rPr>
          <w:bCs/>
          <w:color w:val="000000" w:themeColor="text1"/>
        </w:rPr>
        <w:t xml:space="preserve"> o transtorno de humor caracterizado por episódios de mania ou hipomania alternados com depressão, conforme CID-10 (códigos F31) ou DSM-5; </w:t>
      </w:r>
    </w:p>
    <w:p w14:paraId="11C6E4F2" w14:textId="03E11452" w:rsidR="00FD6437" w:rsidRPr="00FD6437" w:rsidRDefault="00FD6437" w:rsidP="00F23862">
      <w:pPr>
        <w:pStyle w:val="NormalWeb"/>
        <w:spacing w:before="0" w:beforeAutospacing="0" w:after="0" w:afterAutospacing="0" w:line="360" w:lineRule="auto"/>
        <w:ind w:firstLine="708"/>
        <w:jc w:val="both"/>
        <w:rPr>
          <w:bCs/>
          <w:color w:val="000000" w:themeColor="text1"/>
        </w:rPr>
      </w:pPr>
      <w:r w:rsidRPr="00FD6437">
        <w:rPr>
          <w:b/>
          <w:color w:val="000000" w:themeColor="text1"/>
        </w:rPr>
        <w:t>IV -</w:t>
      </w:r>
      <w:r w:rsidRPr="00FD6437">
        <w:rPr>
          <w:bCs/>
          <w:color w:val="000000" w:themeColor="text1"/>
        </w:rPr>
        <w:t xml:space="preserve"> </w:t>
      </w:r>
      <w:r w:rsidRPr="00FD6437">
        <w:rPr>
          <w:b/>
          <w:bCs/>
          <w:color w:val="000000" w:themeColor="text1"/>
        </w:rPr>
        <w:t>Transtorno de Personalidade Borderline (TPB):</w:t>
      </w:r>
      <w:r w:rsidRPr="00FD6437">
        <w:rPr>
          <w:bCs/>
          <w:color w:val="000000" w:themeColor="text1"/>
        </w:rPr>
        <w:t xml:space="preserve"> o transtorno caracterizado por instabilidade afetiva, impulsividade e relações interpessoais turbulentas, conforme CID-10 (código F60.3) ou DSM-5.</w:t>
      </w:r>
    </w:p>
    <w:p w14:paraId="1649C194" w14:textId="77777777" w:rsidR="00FD6437" w:rsidRPr="00FD6437" w:rsidRDefault="00FD6437" w:rsidP="006D1021">
      <w:pPr>
        <w:pStyle w:val="NormalWeb"/>
        <w:spacing w:before="0" w:beforeAutospacing="0" w:after="0" w:afterAutospacing="0" w:line="360" w:lineRule="auto"/>
        <w:ind w:firstLine="708"/>
        <w:jc w:val="both"/>
        <w:rPr>
          <w:bCs/>
          <w:color w:val="000000" w:themeColor="text1"/>
        </w:rPr>
      </w:pPr>
      <w:r w:rsidRPr="00FD6437">
        <w:rPr>
          <w:b/>
          <w:color w:val="000000" w:themeColor="text1"/>
        </w:rPr>
        <w:lastRenderedPageBreak/>
        <w:t>§ 2º</w:t>
      </w:r>
      <w:r w:rsidRPr="00FD6437">
        <w:rPr>
          <w:bCs/>
          <w:color w:val="000000" w:themeColor="text1"/>
        </w:rPr>
        <w:t xml:space="preserve"> A pessoa com as deficiências mencionadas no </w:t>
      </w:r>
      <w:r w:rsidRPr="00FD6437">
        <w:rPr>
          <w:bCs/>
          <w:i/>
          <w:iCs/>
          <w:color w:val="000000" w:themeColor="text1"/>
        </w:rPr>
        <w:t>caput</w:t>
      </w:r>
      <w:r w:rsidRPr="00FD6437">
        <w:rPr>
          <w:bCs/>
          <w:color w:val="000000" w:themeColor="text1"/>
        </w:rPr>
        <w:t xml:space="preserve"> é considerada pessoa com deficiência oculta, garantindo-lhe todos os direitos previstos na legislação federal, estadual e municipal aplicável às pessoas com deficiência.</w:t>
      </w:r>
    </w:p>
    <w:p w14:paraId="2693FDF2" w14:textId="77777777" w:rsidR="00FD6437" w:rsidRDefault="00FD6437" w:rsidP="00726906">
      <w:pPr>
        <w:pStyle w:val="NormalWeb"/>
        <w:spacing w:before="0" w:beforeAutospacing="0" w:after="0" w:afterAutospacing="0" w:line="360" w:lineRule="auto"/>
        <w:ind w:firstLine="708"/>
        <w:jc w:val="both"/>
        <w:rPr>
          <w:bCs/>
          <w:color w:val="000000" w:themeColor="text1"/>
        </w:rPr>
      </w:pPr>
      <w:r w:rsidRPr="00FD6437">
        <w:rPr>
          <w:b/>
          <w:color w:val="000000" w:themeColor="text1"/>
        </w:rPr>
        <w:t>§ 3º</w:t>
      </w:r>
      <w:r w:rsidRPr="00FD6437">
        <w:rPr>
          <w:bCs/>
          <w:color w:val="000000" w:themeColor="text1"/>
        </w:rPr>
        <w:t xml:space="preserve"> Aplica-se a estas pessoas, integralmente, o disposto na Lei Federal nº 13.146, de 6 de julho de 2015 (Estatuto da Pessoa com Deficiência) e demais legislações municipais, estaduais e federais que asseguram direitos às pessoas com deficiência.</w:t>
      </w:r>
    </w:p>
    <w:p w14:paraId="126BC07C" w14:textId="77777777" w:rsidR="00FD6437" w:rsidRPr="00FD6437" w:rsidRDefault="00FD6437" w:rsidP="00FD6437">
      <w:pPr>
        <w:pStyle w:val="NormalWeb"/>
        <w:spacing w:before="0" w:beforeAutospacing="0" w:after="0" w:afterAutospacing="0" w:line="360" w:lineRule="auto"/>
        <w:jc w:val="both"/>
        <w:rPr>
          <w:bCs/>
          <w:color w:val="000000" w:themeColor="text1"/>
        </w:rPr>
      </w:pPr>
    </w:p>
    <w:p w14:paraId="1681E2B7" w14:textId="77777777" w:rsidR="00FD6437" w:rsidRPr="00FD6437" w:rsidRDefault="00FD6437" w:rsidP="00FD6437">
      <w:pPr>
        <w:pStyle w:val="NormalWeb"/>
        <w:spacing w:before="0" w:beforeAutospacing="0" w:after="0" w:afterAutospacing="0" w:line="360" w:lineRule="auto"/>
        <w:ind w:firstLine="708"/>
        <w:jc w:val="both"/>
        <w:rPr>
          <w:bCs/>
          <w:color w:val="000000" w:themeColor="text1"/>
        </w:rPr>
      </w:pPr>
      <w:r w:rsidRPr="00FD6437">
        <w:rPr>
          <w:b/>
          <w:bCs/>
          <w:color w:val="000000" w:themeColor="text1"/>
        </w:rPr>
        <w:t>Art. 2º</w:t>
      </w:r>
      <w:r w:rsidRPr="00FD6437">
        <w:rPr>
          <w:bCs/>
          <w:color w:val="000000" w:themeColor="text1"/>
        </w:rPr>
        <w:t xml:space="preserve"> Fica instituída a Política Municipal de Proteção dos Direitos da Pessoa com Transtorno do Déficit de Atenção com Hiperatividade (TDAH), Dislexia, Transtorno Afetivo Bipolar (TAB) e Transtorno de Personalidade Borderline (TPB) no âmbito do Município de Bayeux.</w:t>
      </w:r>
    </w:p>
    <w:p w14:paraId="0FE349FE" w14:textId="18E28189" w:rsidR="00FD6437" w:rsidRDefault="00FD6437" w:rsidP="00FD6437">
      <w:pPr>
        <w:pStyle w:val="NormalWeb"/>
        <w:spacing w:before="0" w:beforeAutospacing="0" w:after="0" w:afterAutospacing="0" w:line="360" w:lineRule="auto"/>
        <w:ind w:firstLine="708"/>
        <w:jc w:val="both"/>
        <w:rPr>
          <w:bCs/>
          <w:color w:val="000000" w:themeColor="text1"/>
        </w:rPr>
      </w:pPr>
      <w:r w:rsidRPr="00FD6437">
        <w:rPr>
          <w:b/>
          <w:color w:val="000000" w:themeColor="text1"/>
        </w:rPr>
        <w:t>Parágrafo único.</w:t>
      </w:r>
      <w:r w:rsidRPr="00FD6437">
        <w:rPr>
          <w:bCs/>
          <w:color w:val="000000" w:themeColor="text1"/>
        </w:rPr>
        <w:t xml:space="preserve"> Esta política visa assegurar a inclusão social, o respeito à dignidade, o acesso a serviços públicos e a garantia de direitos fundamentais às pessoas com as condições mencionadas, combatendo o estigma e promovendo a igualdade de oportunidades</w:t>
      </w:r>
      <w:r w:rsidR="00642C0E">
        <w:rPr>
          <w:bCs/>
          <w:color w:val="000000" w:themeColor="text1"/>
        </w:rPr>
        <w:t>.</w:t>
      </w:r>
    </w:p>
    <w:p w14:paraId="6147E328" w14:textId="77777777" w:rsidR="00FD6437" w:rsidRPr="00FD6437" w:rsidRDefault="00FD6437" w:rsidP="00FD6437">
      <w:pPr>
        <w:pStyle w:val="NormalWeb"/>
        <w:spacing w:before="0" w:beforeAutospacing="0" w:after="0" w:afterAutospacing="0" w:line="360" w:lineRule="auto"/>
        <w:ind w:firstLine="708"/>
        <w:jc w:val="both"/>
        <w:rPr>
          <w:bCs/>
          <w:color w:val="000000" w:themeColor="text1"/>
        </w:rPr>
      </w:pPr>
    </w:p>
    <w:p w14:paraId="1D9A6201" w14:textId="77777777" w:rsidR="00FD6437" w:rsidRPr="00FD6437" w:rsidRDefault="00FD6437" w:rsidP="00FD6437">
      <w:pPr>
        <w:pStyle w:val="NormalWeb"/>
        <w:spacing w:before="0" w:beforeAutospacing="0" w:after="0" w:afterAutospacing="0" w:line="360" w:lineRule="auto"/>
        <w:ind w:firstLine="708"/>
        <w:jc w:val="both"/>
        <w:rPr>
          <w:bCs/>
          <w:color w:val="000000" w:themeColor="text1"/>
        </w:rPr>
      </w:pPr>
      <w:r w:rsidRPr="00FD6437">
        <w:rPr>
          <w:b/>
          <w:bCs/>
          <w:color w:val="000000" w:themeColor="text1"/>
        </w:rPr>
        <w:t>Art. 3º</w:t>
      </w:r>
      <w:r w:rsidRPr="00FD6437">
        <w:rPr>
          <w:bCs/>
          <w:color w:val="000000" w:themeColor="text1"/>
        </w:rPr>
        <w:t xml:space="preserve"> São diretrizes da Política Municipal de Proteção dos Direitos da Pessoa com TDAH, Dislexia, TAB e TPB:</w:t>
      </w:r>
    </w:p>
    <w:p w14:paraId="0EACB9F2" w14:textId="77777777" w:rsidR="00FD6437" w:rsidRDefault="00FD6437" w:rsidP="00726906">
      <w:pPr>
        <w:pStyle w:val="NormalWeb"/>
        <w:spacing w:before="0" w:beforeAutospacing="0" w:after="0" w:afterAutospacing="0" w:line="360" w:lineRule="auto"/>
        <w:ind w:firstLine="708"/>
        <w:jc w:val="both"/>
        <w:rPr>
          <w:bCs/>
          <w:color w:val="000000" w:themeColor="text1"/>
        </w:rPr>
      </w:pPr>
      <w:r w:rsidRPr="00726906">
        <w:rPr>
          <w:b/>
          <w:color w:val="000000" w:themeColor="text1"/>
        </w:rPr>
        <w:t>I -</w:t>
      </w:r>
      <w:r w:rsidRPr="00FD6437">
        <w:rPr>
          <w:bCs/>
          <w:color w:val="000000" w:themeColor="text1"/>
        </w:rPr>
        <w:t xml:space="preserve"> A intersetorialidade no desenvolvimento de ações e no cuidado, envolvendo as áreas da saúde, educação, assistência social, trabalho, cultura, esporte e lazer; </w:t>
      </w:r>
    </w:p>
    <w:p w14:paraId="51998BCF" w14:textId="77777777" w:rsidR="00FD6437" w:rsidRDefault="00FD6437" w:rsidP="00726906">
      <w:pPr>
        <w:pStyle w:val="NormalWeb"/>
        <w:spacing w:before="0" w:beforeAutospacing="0" w:after="0" w:afterAutospacing="0" w:line="360" w:lineRule="auto"/>
        <w:ind w:firstLine="708"/>
        <w:jc w:val="both"/>
        <w:rPr>
          <w:bCs/>
          <w:color w:val="000000" w:themeColor="text1"/>
        </w:rPr>
      </w:pPr>
      <w:r w:rsidRPr="00726906">
        <w:rPr>
          <w:b/>
          <w:color w:val="000000" w:themeColor="text1"/>
        </w:rPr>
        <w:t>II -</w:t>
      </w:r>
      <w:r w:rsidRPr="00FD6437">
        <w:rPr>
          <w:bCs/>
          <w:color w:val="000000" w:themeColor="text1"/>
        </w:rPr>
        <w:t xml:space="preserve"> A participação ativa das pessoas com TDAH, Dislexia, TAB e TPB, bem como de seus familiares e associações representativas, na formulação, execução e avaliação das políticas públicas que lhes dizem respeito, por meio de conselhos municipais ou audiências públicas; </w:t>
      </w:r>
    </w:p>
    <w:p w14:paraId="2219D6B7" w14:textId="77777777" w:rsidR="00FD6437" w:rsidRDefault="00FD6437" w:rsidP="00726906">
      <w:pPr>
        <w:pStyle w:val="NormalWeb"/>
        <w:spacing w:before="0" w:beforeAutospacing="0" w:after="0" w:afterAutospacing="0" w:line="360" w:lineRule="auto"/>
        <w:ind w:firstLine="708"/>
        <w:jc w:val="both"/>
        <w:rPr>
          <w:bCs/>
          <w:color w:val="000000" w:themeColor="text1"/>
        </w:rPr>
      </w:pPr>
      <w:r w:rsidRPr="00726906">
        <w:rPr>
          <w:b/>
          <w:color w:val="000000" w:themeColor="text1"/>
        </w:rPr>
        <w:t>III -</w:t>
      </w:r>
      <w:r w:rsidRPr="00FD6437">
        <w:rPr>
          <w:bCs/>
          <w:color w:val="000000" w:themeColor="text1"/>
        </w:rPr>
        <w:t xml:space="preserve"> A atenção integral à saúde, visando ao diagnóstico precoce e preciso, ao atendimento multiprofissional (médico, psicológico, terapêutico, fonoaudiológico, psicopedagógico, entre outros) e ao acesso facilitado a tratamentos e medicamentos, quando indicados, em conformidade com os protocolos clínicos e diretrizes terapêuticas da autoridade sanitária nacional; </w:t>
      </w:r>
    </w:p>
    <w:p w14:paraId="75ECD4E4" w14:textId="77777777" w:rsidR="00FD6437" w:rsidRDefault="00FD6437" w:rsidP="00726906">
      <w:pPr>
        <w:pStyle w:val="NormalWeb"/>
        <w:spacing w:before="0" w:beforeAutospacing="0" w:after="0" w:afterAutospacing="0" w:line="360" w:lineRule="auto"/>
        <w:ind w:firstLine="708"/>
        <w:jc w:val="both"/>
        <w:rPr>
          <w:bCs/>
          <w:color w:val="000000" w:themeColor="text1"/>
        </w:rPr>
      </w:pPr>
      <w:r w:rsidRPr="00726906">
        <w:rPr>
          <w:b/>
          <w:color w:val="000000" w:themeColor="text1"/>
        </w:rPr>
        <w:t>IV -</w:t>
      </w:r>
      <w:r w:rsidRPr="00FD6437">
        <w:rPr>
          <w:bCs/>
          <w:color w:val="000000" w:themeColor="text1"/>
        </w:rPr>
        <w:t xml:space="preserve"> O incentivo à formação continuada e à capacitação de profissionais das redes pública e privada, especialmente nas áreas de saúde e educação, para a identificação, acolhimento, atendimento e acompanhamento adequados; </w:t>
      </w:r>
    </w:p>
    <w:p w14:paraId="142938C3" w14:textId="77777777" w:rsidR="00FD6437" w:rsidRDefault="00FD6437" w:rsidP="00726906">
      <w:pPr>
        <w:pStyle w:val="NormalWeb"/>
        <w:spacing w:before="0" w:beforeAutospacing="0" w:after="0" w:afterAutospacing="0" w:line="360" w:lineRule="auto"/>
        <w:ind w:firstLine="708"/>
        <w:jc w:val="both"/>
        <w:rPr>
          <w:bCs/>
          <w:color w:val="000000" w:themeColor="text1"/>
        </w:rPr>
      </w:pPr>
      <w:r w:rsidRPr="00726906">
        <w:rPr>
          <w:b/>
          <w:color w:val="000000" w:themeColor="text1"/>
        </w:rPr>
        <w:t>V -</w:t>
      </w:r>
      <w:r w:rsidRPr="00FD6437">
        <w:rPr>
          <w:bCs/>
          <w:color w:val="000000" w:themeColor="text1"/>
        </w:rPr>
        <w:t xml:space="preserve"> O estímulo à educação em um ambiente genuinamente inclusivo, garantindo as adaptações razoáveis necessárias, o apoio educacional especializado, a utilização de </w:t>
      </w:r>
      <w:r w:rsidRPr="00FD6437">
        <w:rPr>
          <w:bCs/>
          <w:color w:val="000000" w:themeColor="text1"/>
        </w:rPr>
        <w:lastRenderedPageBreak/>
        <w:t xml:space="preserve">recursos pedagógicos diferenciados e adaptações curriculares para atender às necessidades específicas de aprendizagem; </w:t>
      </w:r>
    </w:p>
    <w:p w14:paraId="40EA9CBD" w14:textId="77777777" w:rsidR="00FD6437" w:rsidRDefault="00FD6437" w:rsidP="00726906">
      <w:pPr>
        <w:pStyle w:val="NormalWeb"/>
        <w:spacing w:before="0" w:beforeAutospacing="0" w:after="0" w:afterAutospacing="0" w:line="360" w:lineRule="auto"/>
        <w:ind w:firstLine="708"/>
        <w:jc w:val="both"/>
        <w:rPr>
          <w:bCs/>
          <w:color w:val="000000" w:themeColor="text1"/>
        </w:rPr>
      </w:pPr>
      <w:r w:rsidRPr="00726906">
        <w:rPr>
          <w:b/>
          <w:color w:val="000000" w:themeColor="text1"/>
        </w:rPr>
        <w:t>VI -</w:t>
      </w:r>
      <w:r w:rsidRPr="00FD6437">
        <w:rPr>
          <w:bCs/>
          <w:color w:val="000000" w:themeColor="text1"/>
        </w:rPr>
        <w:t xml:space="preserve"> A promoção da inserção e permanência no mercado de trabalho formal, com respeito às especificidades de cada condição, incentivo a adaptações no ambiente laboral, observância de quotas em concursos municipais e programas de capacitação; </w:t>
      </w:r>
    </w:p>
    <w:p w14:paraId="27CF4EBC" w14:textId="77777777" w:rsidR="00FD6437" w:rsidRDefault="00FD6437" w:rsidP="00726906">
      <w:pPr>
        <w:pStyle w:val="NormalWeb"/>
        <w:spacing w:before="0" w:beforeAutospacing="0" w:after="0" w:afterAutospacing="0" w:line="360" w:lineRule="auto"/>
        <w:ind w:firstLine="708"/>
        <w:jc w:val="both"/>
        <w:rPr>
          <w:bCs/>
          <w:color w:val="000000" w:themeColor="text1"/>
        </w:rPr>
      </w:pPr>
      <w:r w:rsidRPr="00726906">
        <w:rPr>
          <w:b/>
          <w:color w:val="000000" w:themeColor="text1"/>
        </w:rPr>
        <w:t>VII -</w:t>
      </w:r>
      <w:r w:rsidRPr="00FD6437">
        <w:rPr>
          <w:bCs/>
          <w:color w:val="000000" w:themeColor="text1"/>
        </w:rPr>
        <w:t xml:space="preserve"> A realização de campanhas de informação e conscientização para a população em geral, sob responsabilidade do Poder Público, visando reduzir o preconceito, a discriminação e o estigma associados a estas condições, com periodicidade anual; </w:t>
      </w:r>
    </w:p>
    <w:p w14:paraId="46AE73D7" w14:textId="038BDDF9" w:rsidR="00FD6437" w:rsidRDefault="00FD6437" w:rsidP="00726906">
      <w:pPr>
        <w:pStyle w:val="NormalWeb"/>
        <w:spacing w:before="0" w:beforeAutospacing="0" w:after="0" w:afterAutospacing="0" w:line="360" w:lineRule="auto"/>
        <w:ind w:firstLine="708"/>
        <w:jc w:val="both"/>
        <w:rPr>
          <w:bCs/>
          <w:color w:val="000000" w:themeColor="text1"/>
        </w:rPr>
      </w:pPr>
      <w:r w:rsidRPr="00726906">
        <w:rPr>
          <w:b/>
          <w:color w:val="000000" w:themeColor="text1"/>
        </w:rPr>
        <w:t>VIII -</w:t>
      </w:r>
      <w:r w:rsidRPr="00FD6437">
        <w:rPr>
          <w:bCs/>
          <w:color w:val="000000" w:themeColor="text1"/>
        </w:rPr>
        <w:t xml:space="preserve"> O fomento à pesquisa científica que contribua para o melhor entendimento, diagnóstico, tratamento e inclusão social das pessoas com TDAH, Dislexia, TAB e TPB; IX - A ampla divulgação de informações sobre os direitos previstos na Lei Federal nº 14.254, de 30 de novembro de 2021 (que dispõe sobre o acompanhamento integral para educandos com TDAH ou outros transtornos de aprendizagem).</w:t>
      </w:r>
    </w:p>
    <w:p w14:paraId="0B4F54E8" w14:textId="77777777" w:rsidR="00FD6437" w:rsidRPr="00FD6437" w:rsidRDefault="00FD6437" w:rsidP="00FD6437">
      <w:pPr>
        <w:pStyle w:val="NormalWeb"/>
        <w:spacing w:before="0" w:beforeAutospacing="0" w:after="0" w:afterAutospacing="0" w:line="360" w:lineRule="auto"/>
        <w:jc w:val="both"/>
        <w:rPr>
          <w:bCs/>
          <w:color w:val="000000" w:themeColor="text1"/>
        </w:rPr>
      </w:pPr>
    </w:p>
    <w:p w14:paraId="2D9ED0C7" w14:textId="58181643" w:rsidR="00FD6437" w:rsidRPr="00FD6437" w:rsidRDefault="00FD6437" w:rsidP="00FD6437">
      <w:pPr>
        <w:pStyle w:val="NormalWeb"/>
        <w:spacing w:before="0" w:beforeAutospacing="0" w:after="0" w:afterAutospacing="0" w:line="360" w:lineRule="auto"/>
        <w:ind w:firstLine="708"/>
        <w:jc w:val="both"/>
        <w:rPr>
          <w:bCs/>
          <w:color w:val="000000" w:themeColor="text1"/>
        </w:rPr>
      </w:pPr>
      <w:r w:rsidRPr="00FD6437">
        <w:rPr>
          <w:b/>
          <w:bCs/>
          <w:color w:val="000000" w:themeColor="text1"/>
        </w:rPr>
        <w:t>Art. 4º</w:t>
      </w:r>
      <w:r w:rsidRPr="00FD6437">
        <w:rPr>
          <w:bCs/>
          <w:color w:val="000000" w:themeColor="text1"/>
        </w:rPr>
        <w:t xml:space="preserve"> Fica assegurado às pessoas com TDAH, Dislexia, TAB e TPB, nos termos desta Lei e da legislação vigente, o direito ao atendimento prioritário em todos os estabelecimentos públicos e privados do Município de Bayeux que impliquem espera em filas, incluindo, mas não se limitando a supermercados, bancos, farmácias, lotéricas e repartições públicas</w:t>
      </w:r>
      <w:r w:rsidR="00013AC1">
        <w:rPr>
          <w:bCs/>
          <w:color w:val="000000" w:themeColor="text1"/>
        </w:rPr>
        <w:t>.</w:t>
      </w:r>
    </w:p>
    <w:p w14:paraId="40BC3BAF" w14:textId="77777777" w:rsidR="00FD6437" w:rsidRDefault="00FD6437" w:rsidP="00FD6437">
      <w:pPr>
        <w:pStyle w:val="NormalWeb"/>
        <w:spacing w:before="0" w:beforeAutospacing="0" w:after="0" w:afterAutospacing="0" w:line="360" w:lineRule="auto"/>
        <w:ind w:firstLine="708"/>
        <w:jc w:val="both"/>
        <w:rPr>
          <w:bCs/>
          <w:color w:val="000000" w:themeColor="text1"/>
        </w:rPr>
      </w:pPr>
      <w:r w:rsidRPr="00FD6437">
        <w:rPr>
          <w:b/>
          <w:color w:val="000000" w:themeColor="text1"/>
        </w:rPr>
        <w:t>Parágrafo único.</w:t>
      </w:r>
      <w:r w:rsidRPr="00FD6437">
        <w:rPr>
          <w:bCs/>
          <w:color w:val="000000" w:themeColor="text1"/>
        </w:rPr>
        <w:t xml:space="preserve"> Estende-se a estas pessoas o direito ao uso das vagas de estacionamento reservadas às pessoas com deficiência, mediante credencial a ser regulamentada pelo Poder Executivo Municipal.</w:t>
      </w:r>
    </w:p>
    <w:p w14:paraId="73B39F29" w14:textId="77777777" w:rsidR="00FD6437" w:rsidRPr="00FD6437" w:rsidRDefault="00FD6437" w:rsidP="00FD6437">
      <w:pPr>
        <w:pStyle w:val="NormalWeb"/>
        <w:spacing w:before="0" w:beforeAutospacing="0" w:after="0" w:afterAutospacing="0" w:line="360" w:lineRule="auto"/>
        <w:ind w:firstLine="708"/>
        <w:jc w:val="both"/>
        <w:rPr>
          <w:bCs/>
          <w:color w:val="000000" w:themeColor="text1"/>
        </w:rPr>
      </w:pPr>
    </w:p>
    <w:p w14:paraId="104A76CD" w14:textId="77777777" w:rsidR="00FD6437" w:rsidRPr="00FD6437" w:rsidRDefault="00FD6437" w:rsidP="00FD6437">
      <w:pPr>
        <w:pStyle w:val="NormalWeb"/>
        <w:spacing w:before="0" w:beforeAutospacing="0" w:after="0" w:afterAutospacing="0" w:line="360" w:lineRule="auto"/>
        <w:ind w:firstLine="708"/>
        <w:jc w:val="both"/>
        <w:rPr>
          <w:bCs/>
          <w:color w:val="000000" w:themeColor="text1"/>
        </w:rPr>
      </w:pPr>
      <w:r w:rsidRPr="00FD6437">
        <w:rPr>
          <w:b/>
          <w:bCs/>
          <w:color w:val="000000" w:themeColor="text1"/>
        </w:rPr>
        <w:t>Art. 5º</w:t>
      </w:r>
      <w:r w:rsidRPr="00FD6437">
        <w:rPr>
          <w:bCs/>
          <w:color w:val="000000" w:themeColor="text1"/>
        </w:rPr>
        <w:t xml:space="preserve"> No âmbito educacional municipal, incluindo escolas, cursos e processos seletivos como concursos públicos promovidos pelo Município, serão garantidas às pessoas com TDAH e Dislexia, mediante comprovação e solicitação prévia, as adaptações razoáveis necessárias para compensar as dificuldades de atenção e processamento cognitivo.</w:t>
      </w:r>
    </w:p>
    <w:p w14:paraId="13BC623A" w14:textId="63851492" w:rsidR="00FD6437" w:rsidRDefault="00FD6437" w:rsidP="00FD6437">
      <w:pPr>
        <w:pStyle w:val="NormalWeb"/>
        <w:spacing w:before="0" w:beforeAutospacing="0" w:after="0" w:afterAutospacing="0" w:line="360" w:lineRule="auto"/>
        <w:ind w:firstLine="708"/>
        <w:jc w:val="both"/>
        <w:rPr>
          <w:bCs/>
          <w:color w:val="000000" w:themeColor="text1"/>
        </w:rPr>
      </w:pPr>
      <w:r w:rsidRPr="00FD6437">
        <w:rPr>
          <w:b/>
          <w:color w:val="000000" w:themeColor="text1"/>
        </w:rPr>
        <w:t>Parágrafo único.</w:t>
      </w:r>
      <w:r w:rsidRPr="00FD6437">
        <w:rPr>
          <w:bCs/>
          <w:color w:val="000000" w:themeColor="text1"/>
        </w:rPr>
        <w:t xml:space="preserve"> Entre as adaptações previstas no </w:t>
      </w:r>
      <w:r w:rsidRPr="00FD6437">
        <w:rPr>
          <w:bCs/>
          <w:i/>
          <w:iCs/>
          <w:color w:val="000000" w:themeColor="text1"/>
        </w:rPr>
        <w:t>caput</w:t>
      </w:r>
      <w:r w:rsidRPr="00FD6437">
        <w:rPr>
          <w:bCs/>
          <w:color w:val="000000" w:themeColor="text1"/>
        </w:rPr>
        <w:t>, inclui-se, obrigatoriamente, a dilatação do tempo para realização de provas e avaliações em até 50% (cinquenta por cento) adicional</w:t>
      </w:r>
      <w:r w:rsidR="00BF61E3">
        <w:rPr>
          <w:bCs/>
          <w:color w:val="000000" w:themeColor="text1"/>
        </w:rPr>
        <w:t>.</w:t>
      </w:r>
    </w:p>
    <w:p w14:paraId="5C6CAA28" w14:textId="77777777" w:rsidR="00FD6437" w:rsidRPr="00FD6437" w:rsidRDefault="00FD6437" w:rsidP="00FD6437">
      <w:pPr>
        <w:pStyle w:val="NormalWeb"/>
        <w:spacing w:before="0" w:beforeAutospacing="0" w:after="0" w:afterAutospacing="0" w:line="360" w:lineRule="auto"/>
        <w:ind w:firstLine="708"/>
        <w:jc w:val="both"/>
        <w:rPr>
          <w:bCs/>
          <w:color w:val="000000" w:themeColor="text1"/>
        </w:rPr>
      </w:pPr>
    </w:p>
    <w:p w14:paraId="6115BACF" w14:textId="7CCF7E9A" w:rsidR="00FD6437" w:rsidRDefault="00FD6437" w:rsidP="00FD25ED">
      <w:pPr>
        <w:pStyle w:val="NormalWeb"/>
        <w:spacing w:before="0" w:beforeAutospacing="0" w:after="0" w:afterAutospacing="0" w:line="360" w:lineRule="auto"/>
        <w:ind w:firstLine="708"/>
        <w:jc w:val="both"/>
        <w:rPr>
          <w:bCs/>
          <w:color w:val="000000" w:themeColor="text1"/>
        </w:rPr>
      </w:pPr>
      <w:r w:rsidRPr="00FD6437">
        <w:rPr>
          <w:b/>
          <w:bCs/>
          <w:color w:val="000000" w:themeColor="text1"/>
        </w:rPr>
        <w:t>Art. 6º</w:t>
      </w:r>
      <w:r w:rsidRPr="00FD6437">
        <w:rPr>
          <w:bCs/>
          <w:color w:val="000000" w:themeColor="text1"/>
        </w:rPr>
        <w:t xml:space="preserve"> São também direitos das pessoas reconhecidas nos termos desta </w:t>
      </w:r>
      <w:r w:rsidR="00FD25ED">
        <w:rPr>
          <w:bCs/>
          <w:color w:val="000000" w:themeColor="text1"/>
        </w:rPr>
        <w:t>o a</w:t>
      </w:r>
      <w:r w:rsidRPr="00FD6437">
        <w:rPr>
          <w:bCs/>
          <w:color w:val="000000" w:themeColor="text1"/>
        </w:rPr>
        <w:t xml:space="preserve">cesso a acompanhamento integral na rede municipal de saúde, incluindo identificação precoce, </w:t>
      </w:r>
      <w:r w:rsidRPr="00FD6437">
        <w:rPr>
          <w:bCs/>
          <w:color w:val="000000" w:themeColor="text1"/>
        </w:rPr>
        <w:lastRenderedPageBreak/>
        <w:t>encaminhamento para diagnóstico e apoio terapêutico especializado</w:t>
      </w:r>
      <w:r w:rsidR="005831FB">
        <w:rPr>
          <w:bCs/>
          <w:color w:val="000000" w:themeColor="text1"/>
        </w:rPr>
        <w:t xml:space="preserve"> no</w:t>
      </w:r>
      <w:r w:rsidRPr="00FD6437">
        <w:rPr>
          <w:bCs/>
          <w:color w:val="000000" w:themeColor="text1"/>
        </w:rPr>
        <w:t xml:space="preserve"> Sistema Único de Saúde (SUS)</w:t>
      </w:r>
      <w:r w:rsidR="00FD25ED">
        <w:rPr>
          <w:bCs/>
          <w:color w:val="000000" w:themeColor="text1"/>
        </w:rPr>
        <w:t xml:space="preserve"> ou Clínicas/Hospitais</w:t>
      </w:r>
      <w:r w:rsidR="005831FB">
        <w:rPr>
          <w:bCs/>
          <w:color w:val="000000" w:themeColor="text1"/>
        </w:rPr>
        <w:t>-Escola parceiras</w:t>
      </w:r>
      <w:r w:rsidRPr="00FD6437">
        <w:rPr>
          <w:bCs/>
          <w:color w:val="000000" w:themeColor="text1"/>
        </w:rPr>
        <w:t xml:space="preserve">; </w:t>
      </w:r>
    </w:p>
    <w:p w14:paraId="0726020F" w14:textId="77777777" w:rsidR="00FD6437" w:rsidRPr="00FD6437" w:rsidRDefault="00FD6437" w:rsidP="00FD6437">
      <w:pPr>
        <w:pStyle w:val="NormalWeb"/>
        <w:spacing w:before="0" w:beforeAutospacing="0" w:after="0" w:afterAutospacing="0" w:line="360" w:lineRule="auto"/>
        <w:jc w:val="both"/>
        <w:rPr>
          <w:bCs/>
          <w:color w:val="000000" w:themeColor="text1"/>
        </w:rPr>
      </w:pPr>
    </w:p>
    <w:p w14:paraId="567F070B" w14:textId="77777777" w:rsidR="00FD6437" w:rsidRPr="00FD6437" w:rsidRDefault="00FD6437" w:rsidP="00FD6437">
      <w:pPr>
        <w:pStyle w:val="NormalWeb"/>
        <w:spacing w:before="0" w:beforeAutospacing="0" w:after="0" w:afterAutospacing="0" w:line="360" w:lineRule="auto"/>
        <w:ind w:firstLine="708"/>
        <w:jc w:val="both"/>
        <w:rPr>
          <w:bCs/>
          <w:color w:val="000000" w:themeColor="text1"/>
        </w:rPr>
      </w:pPr>
      <w:r w:rsidRPr="00FD6437">
        <w:rPr>
          <w:b/>
          <w:bCs/>
          <w:color w:val="000000" w:themeColor="text1"/>
        </w:rPr>
        <w:t>Art. 7º</w:t>
      </w:r>
      <w:r w:rsidRPr="00FD6437">
        <w:rPr>
          <w:bCs/>
          <w:color w:val="000000" w:themeColor="text1"/>
        </w:rPr>
        <w:t xml:space="preserve"> Fica instituído o uso do Cordão de Girassol como instrumento auxiliar e facultativo de identificação das pessoas com TDAH, Dislexia, TAB e TPB, reconhecidas como deficiências ocultas nos termos desta Lei e em consonância com a Lei Federal nº 14.624, de 17 de julho de 2023.</w:t>
      </w:r>
    </w:p>
    <w:p w14:paraId="623E06A3" w14:textId="02B6D9E6" w:rsidR="00FD6437" w:rsidRDefault="00FD6437" w:rsidP="00FD6437">
      <w:pPr>
        <w:pStyle w:val="NormalWeb"/>
        <w:spacing w:before="0" w:beforeAutospacing="0" w:after="0" w:afterAutospacing="0" w:line="360" w:lineRule="auto"/>
        <w:ind w:firstLine="708"/>
        <w:jc w:val="both"/>
        <w:rPr>
          <w:bCs/>
          <w:color w:val="000000" w:themeColor="text1"/>
        </w:rPr>
      </w:pPr>
      <w:r w:rsidRPr="00FD6437">
        <w:rPr>
          <w:b/>
          <w:color w:val="000000" w:themeColor="text1"/>
        </w:rPr>
        <w:t>Parágrafo único.</w:t>
      </w:r>
      <w:r w:rsidRPr="00FD6437">
        <w:rPr>
          <w:bCs/>
          <w:color w:val="000000" w:themeColor="text1"/>
        </w:rPr>
        <w:t xml:space="preserve"> A identificação oficial das pessoas com as deficiências mencionadas nesta Lei ficará a cargo do Poder Executivo Municipal, que expedirá decreto regulamentar, definindo os procedimentos para emissão de carteira de identificação ou crachá, visando facilitar o reconhecimento e a garantia dos direitos previstos.</w:t>
      </w:r>
    </w:p>
    <w:p w14:paraId="52742AEA" w14:textId="77777777" w:rsidR="00FD6437" w:rsidRPr="00FD6437" w:rsidRDefault="00FD6437" w:rsidP="00FD6437">
      <w:pPr>
        <w:pStyle w:val="NormalWeb"/>
        <w:spacing w:before="0" w:beforeAutospacing="0" w:after="0" w:afterAutospacing="0" w:line="360" w:lineRule="auto"/>
        <w:ind w:firstLine="708"/>
        <w:jc w:val="both"/>
        <w:rPr>
          <w:bCs/>
          <w:color w:val="000000" w:themeColor="text1"/>
        </w:rPr>
      </w:pPr>
    </w:p>
    <w:p w14:paraId="00918CA9" w14:textId="77777777" w:rsidR="00FD6437" w:rsidRDefault="00FD6437" w:rsidP="00FD6437">
      <w:pPr>
        <w:pStyle w:val="NormalWeb"/>
        <w:spacing w:before="0" w:beforeAutospacing="0" w:after="0" w:afterAutospacing="0" w:line="360" w:lineRule="auto"/>
        <w:ind w:firstLine="708"/>
        <w:jc w:val="both"/>
        <w:rPr>
          <w:bCs/>
          <w:color w:val="000000" w:themeColor="text1"/>
        </w:rPr>
      </w:pPr>
      <w:r w:rsidRPr="00FD6437">
        <w:rPr>
          <w:b/>
          <w:bCs/>
          <w:color w:val="000000" w:themeColor="text1"/>
        </w:rPr>
        <w:t>Art. 8º</w:t>
      </w:r>
      <w:r w:rsidRPr="00FD6437">
        <w:rPr>
          <w:bCs/>
          <w:color w:val="000000" w:themeColor="text1"/>
        </w:rPr>
        <w:t xml:space="preserve"> A pessoa com TDAH, Dislexia, TAB ou TPB não será submetida, em razão de sua condição, a qualquer forma de negligência, discriminação, exploração, violência, tortura, crueldade, opressão, tratamento desumano ou degradante, devendo ser protegida e ter sua dignidade, liberdade e convívio familiar e comunitário assegurados.</w:t>
      </w:r>
    </w:p>
    <w:p w14:paraId="703A5EF9" w14:textId="77777777" w:rsidR="00FD6437" w:rsidRPr="00FD6437" w:rsidRDefault="00FD6437" w:rsidP="00FD6437">
      <w:pPr>
        <w:pStyle w:val="NormalWeb"/>
        <w:spacing w:before="0" w:beforeAutospacing="0" w:after="0" w:afterAutospacing="0" w:line="360" w:lineRule="auto"/>
        <w:ind w:firstLine="708"/>
        <w:jc w:val="both"/>
        <w:rPr>
          <w:bCs/>
          <w:color w:val="000000" w:themeColor="text1"/>
        </w:rPr>
      </w:pPr>
    </w:p>
    <w:p w14:paraId="6ACDE305" w14:textId="235671BD" w:rsidR="00FD6437" w:rsidRDefault="00FD6437" w:rsidP="00FD6437">
      <w:pPr>
        <w:pStyle w:val="NormalWeb"/>
        <w:spacing w:before="0" w:beforeAutospacing="0" w:after="0" w:afterAutospacing="0" w:line="360" w:lineRule="auto"/>
        <w:ind w:firstLine="708"/>
        <w:jc w:val="both"/>
        <w:rPr>
          <w:bCs/>
          <w:color w:val="000000" w:themeColor="text1"/>
        </w:rPr>
      </w:pPr>
      <w:r w:rsidRPr="00FD6437">
        <w:rPr>
          <w:b/>
          <w:bCs/>
          <w:color w:val="000000" w:themeColor="text1"/>
        </w:rPr>
        <w:t>Art. 9º</w:t>
      </w:r>
      <w:r w:rsidRPr="00FD6437">
        <w:rPr>
          <w:bCs/>
          <w:color w:val="000000" w:themeColor="text1"/>
        </w:rPr>
        <w:t xml:space="preserve"> O Poder Executivo Municipal promoverá campanhas anuais de conscientização sobre esses transtornos, integrando-as ao calendário oficial do Município</w:t>
      </w:r>
      <w:r w:rsidR="00B50CFE">
        <w:rPr>
          <w:bCs/>
          <w:color w:val="000000" w:themeColor="text1"/>
        </w:rPr>
        <w:t xml:space="preserve"> o dia 10 de outubro dia Municipal </w:t>
      </w:r>
      <w:r w:rsidR="003900EC">
        <w:rPr>
          <w:bCs/>
          <w:color w:val="000000" w:themeColor="text1"/>
        </w:rPr>
        <w:t>da Saúde Mental</w:t>
      </w:r>
      <w:r w:rsidRPr="00FD6437">
        <w:rPr>
          <w:bCs/>
          <w:color w:val="000000" w:themeColor="text1"/>
        </w:rPr>
        <w:t>, com foco na redução do estigma e na promoção da inclusão.</w:t>
      </w:r>
    </w:p>
    <w:p w14:paraId="4A30F275" w14:textId="77777777" w:rsidR="00FD6437" w:rsidRPr="00FD6437" w:rsidRDefault="00FD6437" w:rsidP="00FD6437">
      <w:pPr>
        <w:pStyle w:val="NormalWeb"/>
        <w:spacing w:before="0" w:beforeAutospacing="0" w:after="0" w:afterAutospacing="0" w:line="360" w:lineRule="auto"/>
        <w:ind w:firstLine="708"/>
        <w:jc w:val="both"/>
        <w:rPr>
          <w:bCs/>
          <w:color w:val="000000" w:themeColor="text1"/>
        </w:rPr>
      </w:pPr>
    </w:p>
    <w:p w14:paraId="778B166C" w14:textId="5DA6DD73" w:rsidR="00FD6437" w:rsidRDefault="00FD6437" w:rsidP="00FD6437">
      <w:pPr>
        <w:pStyle w:val="NormalWeb"/>
        <w:spacing w:before="0" w:beforeAutospacing="0" w:after="0" w:afterAutospacing="0" w:line="360" w:lineRule="auto"/>
        <w:ind w:firstLine="708"/>
        <w:jc w:val="both"/>
        <w:rPr>
          <w:bCs/>
          <w:color w:val="000000" w:themeColor="text1"/>
        </w:rPr>
      </w:pPr>
      <w:r w:rsidRPr="00FD6437">
        <w:rPr>
          <w:b/>
          <w:bCs/>
          <w:color w:val="000000" w:themeColor="text1"/>
        </w:rPr>
        <w:t>Art. 10.</w:t>
      </w:r>
      <w:r w:rsidRPr="00FD6437">
        <w:rPr>
          <w:bCs/>
          <w:color w:val="000000" w:themeColor="text1"/>
        </w:rPr>
        <w:t xml:space="preserve"> O Poder Executivo regulamentará esta Lei, no que couber</w:t>
      </w:r>
      <w:r w:rsidR="003900EC">
        <w:rPr>
          <w:bCs/>
          <w:color w:val="000000" w:themeColor="text1"/>
        </w:rPr>
        <w:t>.</w:t>
      </w:r>
    </w:p>
    <w:p w14:paraId="521B8D24" w14:textId="77777777" w:rsidR="000F7489" w:rsidRPr="00FD6437" w:rsidRDefault="000F7489" w:rsidP="00FD6437">
      <w:pPr>
        <w:pStyle w:val="NormalWeb"/>
        <w:spacing w:before="0" w:beforeAutospacing="0" w:after="0" w:afterAutospacing="0" w:line="360" w:lineRule="auto"/>
        <w:ind w:firstLine="708"/>
        <w:jc w:val="both"/>
        <w:rPr>
          <w:bCs/>
          <w:color w:val="000000" w:themeColor="text1"/>
        </w:rPr>
      </w:pPr>
    </w:p>
    <w:p w14:paraId="2DE83049" w14:textId="77777777" w:rsidR="00FD6437" w:rsidRDefault="00FD6437" w:rsidP="00FD6437">
      <w:pPr>
        <w:pStyle w:val="NormalWeb"/>
        <w:spacing w:before="0" w:beforeAutospacing="0" w:after="0" w:afterAutospacing="0" w:line="360" w:lineRule="auto"/>
        <w:ind w:firstLine="708"/>
        <w:jc w:val="both"/>
        <w:rPr>
          <w:bCs/>
          <w:color w:val="000000" w:themeColor="text1"/>
        </w:rPr>
      </w:pPr>
      <w:r w:rsidRPr="00FD6437">
        <w:rPr>
          <w:b/>
          <w:bCs/>
          <w:color w:val="000000" w:themeColor="text1"/>
        </w:rPr>
        <w:t>Art. 11.</w:t>
      </w:r>
      <w:r w:rsidRPr="00FD6437">
        <w:rPr>
          <w:bCs/>
          <w:color w:val="000000" w:themeColor="text1"/>
        </w:rPr>
        <w:t xml:space="preserve"> As despesas decorrentes da execução desta Lei correrão por conta das dotações orçamentárias próprias, suplementadas se necessário.</w:t>
      </w:r>
    </w:p>
    <w:p w14:paraId="67774CC5" w14:textId="77777777" w:rsidR="00FD6437" w:rsidRPr="00FD6437" w:rsidRDefault="00FD6437" w:rsidP="00FD6437">
      <w:pPr>
        <w:pStyle w:val="NormalWeb"/>
        <w:spacing w:before="0" w:beforeAutospacing="0" w:after="0" w:afterAutospacing="0" w:line="360" w:lineRule="auto"/>
        <w:ind w:firstLine="708"/>
        <w:jc w:val="both"/>
        <w:rPr>
          <w:bCs/>
          <w:color w:val="000000" w:themeColor="text1"/>
        </w:rPr>
      </w:pPr>
    </w:p>
    <w:p w14:paraId="3F912E85" w14:textId="77777777" w:rsidR="00FD6437" w:rsidRDefault="00FD6437" w:rsidP="00FD6437">
      <w:pPr>
        <w:pStyle w:val="NormalWeb"/>
        <w:spacing w:before="0" w:beforeAutospacing="0" w:after="0" w:afterAutospacing="0" w:line="360" w:lineRule="auto"/>
        <w:ind w:firstLine="708"/>
        <w:jc w:val="both"/>
        <w:rPr>
          <w:bCs/>
          <w:color w:val="000000" w:themeColor="text1"/>
        </w:rPr>
      </w:pPr>
      <w:r w:rsidRPr="00FD6437">
        <w:rPr>
          <w:b/>
          <w:bCs/>
          <w:color w:val="000000" w:themeColor="text1"/>
        </w:rPr>
        <w:t>Art. 12.</w:t>
      </w:r>
      <w:r w:rsidRPr="00FD6437">
        <w:rPr>
          <w:bCs/>
          <w:color w:val="000000" w:themeColor="text1"/>
        </w:rPr>
        <w:t xml:space="preserve"> Esta Lei entra em vigor na data de sua publicação, revogadas as disposições em contrário.</w:t>
      </w:r>
    </w:p>
    <w:p w14:paraId="3F52AB38" w14:textId="77777777" w:rsidR="00596AE3" w:rsidRPr="00FD6437" w:rsidRDefault="00596AE3" w:rsidP="00FD6437">
      <w:pPr>
        <w:pStyle w:val="NormalWeb"/>
        <w:spacing w:before="0" w:beforeAutospacing="0" w:after="0" w:afterAutospacing="0" w:line="360" w:lineRule="auto"/>
        <w:ind w:firstLine="708"/>
        <w:jc w:val="both"/>
        <w:rPr>
          <w:bCs/>
          <w:color w:val="000000" w:themeColor="text1"/>
        </w:rPr>
      </w:pPr>
    </w:p>
    <w:p w14:paraId="671EA077" w14:textId="77777777" w:rsidR="00596AE3" w:rsidRPr="00596AE3" w:rsidRDefault="00596AE3" w:rsidP="00596AE3">
      <w:pPr>
        <w:pStyle w:val="NormalWeb"/>
        <w:spacing w:before="0" w:beforeAutospacing="0" w:after="0" w:afterAutospacing="0"/>
        <w:jc w:val="right"/>
        <w:rPr>
          <w:bCs/>
        </w:rPr>
      </w:pPr>
      <w:r w:rsidRPr="00596AE3">
        <w:rPr>
          <w:bCs/>
        </w:rPr>
        <w:t>Sala das Sessões da Câmara Municipal de Bayeux, 24 de outubro de 2025.</w:t>
      </w:r>
    </w:p>
    <w:p w14:paraId="341AA185" w14:textId="77777777" w:rsidR="00383013" w:rsidRPr="00917A94" w:rsidRDefault="00383013" w:rsidP="00383013">
      <w:pPr>
        <w:pStyle w:val="NormalWeb"/>
        <w:spacing w:before="0" w:beforeAutospacing="0" w:after="0" w:afterAutospacing="0" w:line="360" w:lineRule="auto"/>
        <w:jc w:val="center"/>
        <w:rPr>
          <w:rStyle w:val="Forte"/>
          <w:rFonts w:eastAsiaTheme="majorEastAsia"/>
        </w:rPr>
      </w:pPr>
    </w:p>
    <w:p w14:paraId="7CB34454" w14:textId="269E8051" w:rsidR="00383013" w:rsidRDefault="007C2DF6" w:rsidP="00383013">
      <w:pPr>
        <w:pStyle w:val="NormalWeb"/>
        <w:spacing w:before="0" w:beforeAutospacing="0" w:after="0" w:afterAutospacing="0" w:line="360" w:lineRule="auto"/>
        <w:jc w:val="center"/>
        <w:rPr>
          <w:rStyle w:val="Forte"/>
          <w:rFonts w:eastAsiaTheme="majorEastAsia"/>
        </w:rPr>
      </w:pPr>
      <w:r>
        <w:rPr>
          <w:bCs/>
          <w:noProof/>
        </w:rPr>
        <w:drawing>
          <wp:anchor distT="0" distB="0" distL="114300" distR="114300" simplePos="0" relativeHeight="251658240" behindDoc="0" locked="0" layoutInCell="1" allowOverlap="1" wp14:anchorId="0310CD03" wp14:editId="44B7456B">
            <wp:simplePos x="0" y="0"/>
            <wp:positionH relativeFrom="column">
              <wp:posOffset>1686090</wp:posOffset>
            </wp:positionH>
            <wp:positionV relativeFrom="paragraph">
              <wp:posOffset>220081</wp:posOffset>
            </wp:positionV>
            <wp:extent cx="2006929" cy="483324"/>
            <wp:effectExtent l="0" t="0" r="0" b="0"/>
            <wp:wrapNone/>
            <wp:docPr id="2116244107" name="Imagem 1" descr="For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244107" name="Imagem 1" descr="Forma&#10;&#10;O conteúdo gerado por IA pode estar incorre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06929" cy="483324"/>
                    </a:xfrm>
                    <a:prstGeom prst="rect">
                      <a:avLst/>
                    </a:prstGeom>
                  </pic:spPr>
                </pic:pic>
              </a:graphicData>
            </a:graphic>
            <wp14:sizeRelH relativeFrom="page">
              <wp14:pctWidth>0</wp14:pctWidth>
            </wp14:sizeRelH>
            <wp14:sizeRelV relativeFrom="page">
              <wp14:pctHeight>0</wp14:pctHeight>
            </wp14:sizeRelV>
          </wp:anchor>
        </w:drawing>
      </w:r>
    </w:p>
    <w:p w14:paraId="51E0F547" w14:textId="5BB76B5C" w:rsidR="00917A94" w:rsidRPr="00917A94" w:rsidRDefault="00917A94" w:rsidP="00383013">
      <w:pPr>
        <w:pStyle w:val="NormalWeb"/>
        <w:spacing w:before="0" w:beforeAutospacing="0" w:after="0" w:afterAutospacing="0" w:line="360" w:lineRule="auto"/>
        <w:jc w:val="center"/>
        <w:rPr>
          <w:rStyle w:val="Forte"/>
          <w:rFonts w:eastAsiaTheme="majorEastAsia"/>
        </w:rPr>
      </w:pPr>
    </w:p>
    <w:p w14:paraId="7B87AB4C" w14:textId="60CB7AB1" w:rsidR="00566C0A" w:rsidRPr="00566C0A" w:rsidRDefault="00566C0A" w:rsidP="00917A94">
      <w:pPr>
        <w:pStyle w:val="NormalWeb"/>
        <w:spacing w:before="0" w:beforeAutospacing="0" w:after="0" w:afterAutospacing="0"/>
        <w:jc w:val="center"/>
        <w:rPr>
          <w:rStyle w:val="Forte"/>
          <w:rFonts w:eastAsiaTheme="majorEastAsia"/>
        </w:rPr>
      </w:pPr>
      <w:r w:rsidRPr="00566C0A">
        <w:rPr>
          <w:rStyle w:val="Forte"/>
          <w:rFonts w:eastAsiaTheme="majorEastAsia"/>
        </w:rPr>
        <w:t>Wagner do Grau</w:t>
      </w:r>
    </w:p>
    <w:p w14:paraId="3C75D48F" w14:textId="70AF03AB" w:rsidR="00383013" w:rsidRDefault="00566C0A" w:rsidP="00566C0A">
      <w:pPr>
        <w:pStyle w:val="NormalWeb"/>
        <w:spacing w:before="0" w:beforeAutospacing="0" w:after="0" w:afterAutospacing="0"/>
        <w:jc w:val="center"/>
        <w:rPr>
          <w:sz w:val="20"/>
          <w:szCs w:val="20"/>
        </w:rPr>
      </w:pPr>
      <w:r w:rsidRPr="00566C0A">
        <w:rPr>
          <w:sz w:val="20"/>
          <w:szCs w:val="20"/>
        </w:rPr>
        <w:t xml:space="preserve">Vereador - PSD  </w:t>
      </w:r>
    </w:p>
    <w:p w14:paraId="1CAD5D7E" w14:textId="6A3DACEC" w:rsidR="00566C0A" w:rsidRPr="00566C0A" w:rsidRDefault="00566C0A" w:rsidP="00566C0A">
      <w:pPr>
        <w:pStyle w:val="NormalWeb"/>
        <w:spacing w:before="0" w:beforeAutospacing="0" w:after="0" w:afterAutospacing="0"/>
        <w:jc w:val="center"/>
      </w:pPr>
    </w:p>
    <w:p w14:paraId="738E5849" w14:textId="564DFDC9" w:rsidR="00383013" w:rsidRPr="00917A94" w:rsidRDefault="00383013" w:rsidP="00383013">
      <w:pPr>
        <w:spacing w:line="360" w:lineRule="auto"/>
        <w:jc w:val="center"/>
        <w:rPr>
          <w:bCs/>
          <w:sz w:val="24"/>
          <w:szCs w:val="24"/>
        </w:rPr>
      </w:pPr>
      <w:r w:rsidRPr="00917A94">
        <w:rPr>
          <w:bCs/>
          <w:sz w:val="24"/>
          <w:szCs w:val="24"/>
        </w:rPr>
        <w:t>JUSTIFICATIVA</w:t>
      </w:r>
    </w:p>
    <w:p w14:paraId="36DDDD7C" w14:textId="77777777" w:rsidR="00383013" w:rsidRPr="00917A94" w:rsidRDefault="00383013" w:rsidP="00383013">
      <w:pPr>
        <w:spacing w:line="360" w:lineRule="auto"/>
        <w:jc w:val="center"/>
        <w:rPr>
          <w:b w:val="0"/>
          <w:bCs/>
          <w:sz w:val="24"/>
          <w:szCs w:val="24"/>
        </w:rPr>
      </w:pPr>
    </w:p>
    <w:p w14:paraId="30B7E669" w14:textId="4E3517EA" w:rsidR="009201E3" w:rsidRDefault="009201E3" w:rsidP="00566C0A">
      <w:pPr>
        <w:spacing w:line="360" w:lineRule="auto"/>
        <w:ind w:firstLine="708"/>
        <w:jc w:val="both"/>
        <w:rPr>
          <w:b w:val="0"/>
          <w:sz w:val="24"/>
          <w:szCs w:val="24"/>
        </w:rPr>
      </w:pPr>
      <w:r w:rsidRPr="009201E3">
        <w:rPr>
          <w:b w:val="0"/>
          <w:sz w:val="24"/>
          <w:szCs w:val="24"/>
        </w:rPr>
        <w:t xml:space="preserve">Prezados </w:t>
      </w:r>
      <w:r w:rsidR="007C2DF6">
        <w:rPr>
          <w:b w:val="0"/>
          <w:sz w:val="24"/>
          <w:szCs w:val="24"/>
        </w:rPr>
        <w:t>nobres</w:t>
      </w:r>
      <w:r w:rsidRPr="009201E3">
        <w:rPr>
          <w:b w:val="0"/>
          <w:sz w:val="24"/>
          <w:szCs w:val="24"/>
        </w:rPr>
        <w:t xml:space="preserve"> Vereadores</w:t>
      </w:r>
      <w:r w:rsidR="007C2DF6">
        <w:rPr>
          <w:b w:val="0"/>
          <w:sz w:val="24"/>
          <w:szCs w:val="24"/>
        </w:rPr>
        <w:t xml:space="preserve"> e Vereadoras</w:t>
      </w:r>
      <w:r w:rsidRPr="009201E3">
        <w:rPr>
          <w:b w:val="0"/>
          <w:sz w:val="24"/>
          <w:szCs w:val="24"/>
        </w:rPr>
        <w:t>,</w:t>
      </w:r>
    </w:p>
    <w:p w14:paraId="54EB8EF8" w14:textId="77777777" w:rsidR="007C2DF6" w:rsidRPr="009201E3" w:rsidRDefault="007C2DF6" w:rsidP="00566C0A">
      <w:pPr>
        <w:spacing w:line="360" w:lineRule="auto"/>
        <w:ind w:firstLine="708"/>
        <w:jc w:val="both"/>
        <w:rPr>
          <w:b w:val="0"/>
          <w:sz w:val="24"/>
          <w:szCs w:val="24"/>
        </w:rPr>
      </w:pPr>
    </w:p>
    <w:p w14:paraId="1A0F0B56" w14:textId="77777777" w:rsidR="009201E3" w:rsidRPr="009201E3" w:rsidRDefault="009201E3" w:rsidP="00566C0A">
      <w:pPr>
        <w:spacing w:line="360" w:lineRule="auto"/>
        <w:ind w:firstLine="708"/>
        <w:jc w:val="both"/>
        <w:rPr>
          <w:b w:val="0"/>
          <w:sz w:val="24"/>
          <w:szCs w:val="24"/>
        </w:rPr>
      </w:pPr>
      <w:r w:rsidRPr="009201E3">
        <w:rPr>
          <w:b w:val="0"/>
          <w:sz w:val="24"/>
          <w:szCs w:val="24"/>
        </w:rPr>
        <w:t>Este Projeto de Lei nasce da profunda convicção de que nossa cidade, Bayeux, deve ser um lugar de acolhimento, respeito e oportunidades para todos os seus cidadãos, sem exceção. Como vereador eleito para representar os anseios da população de Bayeux, apresento esta proposta com um olhar humanizado, reconhecendo que atrás de cada diagnóstico há uma história de luta, resiliência e potencial inexplorado.</w:t>
      </w:r>
    </w:p>
    <w:p w14:paraId="4E3296C4" w14:textId="77777777" w:rsidR="009201E3" w:rsidRPr="009201E3" w:rsidRDefault="009201E3" w:rsidP="00566C0A">
      <w:pPr>
        <w:spacing w:line="360" w:lineRule="auto"/>
        <w:ind w:firstLine="708"/>
        <w:jc w:val="both"/>
        <w:rPr>
          <w:b w:val="0"/>
          <w:sz w:val="24"/>
          <w:szCs w:val="24"/>
        </w:rPr>
      </w:pPr>
      <w:r w:rsidRPr="009201E3">
        <w:rPr>
          <w:b w:val="0"/>
          <w:sz w:val="24"/>
          <w:szCs w:val="24"/>
        </w:rPr>
        <w:t>Imaginem uma criança que, apesar de sua inteligência, luta diariamente para se concentrar em uma aula simples, ou um adulto que oscila entre picos de energia e vales de desânimo, enfrentando barreiras invisíveis no trabalho e na sociedade. Trazemos hoje à apreciação desta Casa Legislativa uma proposta que visa lançar luz sobre essas realidades, muitas vezes invisíveis, mas que impactam profundamente a vida de inúmeras famílias em nosso município.</w:t>
      </w:r>
    </w:p>
    <w:p w14:paraId="05CEC3B5" w14:textId="77777777" w:rsidR="009201E3" w:rsidRPr="009201E3" w:rsidRDefault="009201E3" w:rsidP="00566C0A">
      <w:pPr>
        <w:spacing w:line="360" w:lineRule="auto"/>
        <w:ind w:firstLine="708"/>
        <w:jc w:val="both"/>
        <w:rPr>
          <w:b w:val="0"/>
          <w:sz w:val="24"/>
          <w:szCs w:val="24"/>
        </w:rPr>
      </w:pPr>
      <w:r w:rsidRPr="009201E3">
        <w:rPr>
          <w:b w:val="0"/>
          <w:sz w:val="24"/>
          <w:szCs w:val="24"/>
        </w:rPr>
        <w:t>Esses são os rostos do Transtorno do Déficit de Atenção com Hiperatividade (TDAH), da Dislexia, do Transtorno Afetivo Bipolar (TAB) e do Transtorno de Personalidade Borderline (TPB). Estas não são meras siglas ou diagnósticos distantes; são condições neurobiológicas e de saúde mental que afetam a maneira como indivíduos percebem o mundo, aprendem, se relacionam e enfrentam os desafios do dia a dia. A desatenção, a impulsividade e a hiperatividade do TDAH; as dificuldades específicas na leitura e escrita da Dislexia; as intensas oscilações de humor do TAB; e a instabilidade emocional e relacional do TPB representam barreiras significativas.</w:t>
      </w:r>
    </w:p>
    <w:p w14:paraId="6836BCCF" w14:textId="77777777" w:rsidR="009201E3" w:rsidRPr="009201E3" w:rsidRDefault="009201E3" w:rsidP="00566C0A">
      <w:pPr>
        <w:spacing w:line="360" w:lineRule="auto"/>
        <w:ind w:firstLine="708"/>
        <w:jc w:val="both"/>
        <w:rPr>
          <w:b w:val="0"/>
          <w:sz w:val="24"/>
          <w:szCs w:val="24"/>
        </w:rPr>
      </w:pPr>
      <w:r w:rsidRPr="009201E3">
        <w:rPr>
          <w:b w:val="0"/>
          <w:sz w:val="24"/>
          <w:szCs w:val="24"/>
        </w:rPr>
        <w:t>Essas condições afetam não apenas o indivíduo, mas famílias inteiras, comunidades e o tecido social de nosso município. Quando não compreendidas e acolhidas pela sociedade e pelo poder público, podem levar ao isolamento, ao fracasso escolar e profissional, e a um sofrimento psíquico imensurável. Infelizmente, o desconhecimento e o preconceito ainda são grandes obstáculos. Muitos portadores dessas condições e seus familiares enfrentam uma jornada solitária, marcada pela incompreensão, pela dificuldade de acesso a diagnósticos precisos e tratamentos adequados, e pela falta de políticas públicas que reconheçam suas necessidades específicas.</w:t>
      </w:r>
    </w:p>
    <w:p w14:paraId="16F64B09" w14:textId="362A3D18" w:rsidR="009201E3" w:rsidRPr="009201E3" w:rsidRDefault="009201E3" w:rsidP="00566C0A">
      <w:pPr>
        <w:spacing w:line="360" w:lineRule="auto"/>
        <w:ind w:firstLine="708"/>
        <w:jc w:val="both"/>
        <w:rPr>
          <w:b w:val="0"/>
          <w:sz w:val="24"/>
          <w:szCs w:val="24"/>
        </w:rPr>
      </w:pPr>
      <w:r w:rsidRPr="009201E3">
        <w:rPr>
          <w:b w:val="0"/>
          <w:sz w:val="24"/>
          <w:szCs w:val="24"/>
        </w:rPr>
        <w:t xml:space="preserve">Esta proposta não é apenas legal; é um ato de empatia, visando equiparar esses portadores a pessoas com deficiência para garantir proteção e inclusão, inspirado em </w:t>
      </w:r>
      <w:r w:rsidRPr="009201E3">
        <w:rPr>
          <w:b w:val="0"/>
          <w:sz w:val="24"/>
          <w:szCs w:val="24"/>
        </w:rPr>
        <w:lastRenderedPageBreak/>
        <w:t>experiências reais e embasado em fatos. É nosso dever, como legisladores municipais, mudar essa realidade.</w:t>
      </w:r>
    </w:p>
    <w:p w14:paraId="01A95916" w14:textId="4D5F056F" w:rsidR="009201E3" w:rsidRPr="009201E3" w:rsidRDefault="009201E3" w:rsidP="00566C0A">
      <w:pPr>
        <w:spacing w:line="360" w:lineRule="auto"/>
        <w:ind w:firstLine="708"/>
        <w:jc w:val="both"/>
        <w:rPr>
          <w:b w:val="0"/>
          <w:sz w:val="24"/>
          <w:szCs w:val="24"/>
        </w:rPr>
      </w:pPr>
      <w:r w:rsidRPr="009201E3">
        <w:rPr>
          <w:b w:val="0"/>
          <w:sz w:val="24"/>
          <w:szCs w:val="24"/>
        </w:rPr>
        <w:t>A necessidade desta lei surge da prevalência alarmante desses transtornos. Segundo a Associação Brasileira de Déficit de Atenção (ABDA), o TDAH afeta entre 5% e 17% da população mundial, com impactos significativos na aprendizagem e no desenvolvimento social</w:t>
      </w:r>
      <w:r w:rsidR="00724DCB">
        <w:rPr>
          <w:rStyle w:val="Refdenotaderodap"/>
          <w:b w:val="0"/>
          <w:sz w:val="24"/>
          <w:szCs w:val="24"/>
        </w:rPr>
        <w:footnoteReference w:id="1"/>
      </w:r>
      <w:r w:rsidR="00566C0A">
        <w:rPr>
          <w:b w:val="0"/>
          <w:sz w:val="24"/>
          <w:szCs w:val="24"/>
        </w:rPr>
        <w:t xml:space="preserve">. </w:t>
      </w:r>
      <w:r w:rsidR="00724DCB">
        <w:rPr>
          <w:b w:val="0"/>
          <w:sz w:val="24"/>
          <w:szCs w:val="24"/>
        </w:rPr>
        <w:tab/>
      </w:r>
      <w:r w:rsidRPr="009201E3">
        <w:rPr>
          <w:b w:val="0"/>
          <w:sz w:val="24"/>
          <w:szCs w:val="24"/>
        </w:rPr>
        <w:t>No Brasil, dados do Ministério da Saúde indicam que, em 2020, o TDAH foi responsável por milhares de benefícios previdenciários por incapacidade, com o CID-10 F90 sendo um dos mais comuns em auxílios-doença</w:t>
      </w:r>
      <w:r w:rsidR="00724DCB">
        <w:rPr>
          <w:b w:val="0"/>
          <w:sz w:val="24"/>
          <w:szCs w:val="24"/>
        </w:rPr>
        <w:t>.</w:t>
      </w:r>
      <w:r w:rsidR="00724DCB">
        <w:rPr>
          <w:rStyle w:val="Refdenotaderodap"/>
          <w:b w:val="0"/>
          <w:sz w:val="24"/>
          <w:szCs w:val="24"/>
        </w:rPr>
        <w:footnoteReference w:id="2"/>
      </w:r>
    </w:p>
    <w:p w14:paraId="7429827D" w14:textId="2688B7DC" w:rsidR="00724DCB" w:rsidRDefault="009201E3" w:rsidP="009201E3">
      <w:pPr>
        <w:spacing w:line="360" w:lineRule="auto"/>
        <w:jc w:val="both"/>
        <w:rPr>
          <w:b w:val="0"/>
          <w:sz w:val="24"/>
          <w:szCs w:val="24"/>
        </w:rPr>
      </w:pPr>
      <w:r w:rsidRPr="009201E3">
        <w:rPr>
          <w:b w:val="0"/>
          <w:sz w:val="24"/>
          <w:szCs w:val="24"/>
        </w:rPr>
        <w:t>A Dislexia, por sua vez, atinge até 17% das crianças em idade escolar, levando a evasão e baixa autoestima</w:t>
      </w:r>
      <w:r w:rsidR="00724DCB">
        <w:rPr>
          <w:b w:val="0"/>
          <w:sz w:val="24"/>
          <w:szCs w:val="24"/>
        </w:rPr>
        <w:t>.</w:t>
      </w:r>
      <w:r w:rsidR="00724DCB">
        <w:rPr>
          <w:rStyle w:val="Refdenotaderodap"/>
          <w:b w:val="0"/>
          <w:sz w:val="24"/>
          <w:szCs w:val="24"/>
        </w:rPr>
        <w:footnoteReference w:id="3"/>
      </w:r>
      <w:r w:rsidR="00724DCB">
        <w:rPr>
          <w:b w:val="0"/>
          <w:sz w:val="24"/>
          <w:szCs w:val="24"/>
        </w:rPr>
        <w:tab/>
      </w:r>
      <w:r w:rsidR="00724DCB">
        <w:rPr>
          <w:b w:val="0"/>
          <w:sz w:val="24"/>
          <w:szCs w:val="24"/>
        </w:rPr>
        <w:tab/>
      </w:r>
      <w:r w:rsidRPr="009201E3">
        <w:rPr>
          <w:b w:val="0"/>
          <w:sz w:val="24"/>
          <w:szCs w:val="24"/>
        </w:rPr>
        <w:t>O Transtorno Afetivo Bipolar afeta cerca de 1-2% da população global, com riscos elevados de suicídio e hospitalizações (DSM-5, p. 123-154</w:t>
      </w:r>
      <w:r w:rsidR="00724DCB">
        <w:rPr>
          <w:b w:val="0"/>
          <w:sz w:val="24"/>
          <w:szCs w:val="24"/>
        </w:rPr>
        <w:t>)</w:t>
      </w:r>
      <w:r w:rsidR="00724DCB">
        <w:rPr>
          <w:rStyle w:val="Refdenotaderodap"/>
          <w:b w:val="0"/>
          <w:sz w:val="24"/>
          <w:szCs w:val="24"/>
        </w:rPr>
        <w:footnoteReference w:id="4"/>
      </w:r>
      <w:r w:rsidR="00724DCB">
        <w:rPr>
          <w:b w:val="0"/>
          <w:sz w:val="24"/>
          <w:szCs w:val="24"/>
        </w:rPr>
        <w:t>.</w:t>
      </w:r>
    </w:p>
    <w:p w14:paraId="58CB590A" w14:textId="7C3E59B5" w:rsidR="009201E3" w:rsidRPr="009201E3" w:rsidRDefault="009201E3" w:rsidP="00724DCB">
      <w:pPr>
        <w:spacing w:line="360" w:lineRule="auto"/>
        <w:ind w:firstLine="708"/>
        <w:jc w:val="both"/>
        <w:rPr>
          <w:b w:val="0"/>
          <w:sz w:val="24"/>
          <w:szCs w:val="24"/>
        </w:rPr>
      </w:pPr>
      <w:r w:rsidRPr="009201E3">
        <w:rPr>
          <w:b w:val="0"/>
          <w:sz w:val="24"/>
          <w:szCs w:val="24"/>
        </w:rPr>
        <w:t>Já o Borderline, com prevalência de 1,6% a 5,9%, causa instabilidade emocional que compromete relações e empregos (CID-11, código 6D10).</w:t>
      </w:r>
      <w:r w:rsidR="00724DCB">
        <w:rPr>
          <w:rStyle w:val="Refdenotaderodap"/>
          <w:b w:val="0"/>
          <w:sz w:val="24"/>
          <w:szCs w:val="24"/>
        </w:rPr>
        <w:footnoteReference w:id="5"/>
      </w:r>
      <w:r w:rsidR="00724DCB">
        <w:rPr>
          <w:b w:val="0"/>
          <w:sz w:val="24"/>
          <w:szCs w:val="24"/>
        </w:rPr>
        <w:tab/>
      </w:r>
      <w:r w:rsidRPr="009201E3">
        <w:rPr>
          <w:b w:val="0"/>
          <w:sz w:val="24"/>
          <w:szCs w:val="24"/>
        </w:rPr>
        <w:t>Em Bayeux, esses números se traduzem em famílias que enfrentam barreiras diárias, como relatado em audiências públicas locais.</w:t>
      </w:r>
    </w:p>
    <w:p w14:paraId="76F00B6C" w14:textId="5BB960C1" w:rsidR="0097713C" w:rsidRDefault="009201E3" w:rsidP="00724DCB">
      <w:pPr>
        <w:spacing w:line="360" w:lineRule="auto"/>
        <w:ind w:firstLine="708"/>
        <w:jc w:val="both"/>
        <w:rPr>
          <w:b w:val="0"/>
          <w:sz w:val="24"/>
          <w:szCs w:val="24"/>
        </w:rPr>
      </w:pPr>
      <w:r w:rsidRPr="009201E3">
        <w:rPr>
          <w:b w:val="0"/>
          <w:sz w:val="24"/>
          <w:szCs w:val="24"/>
        </w:rPr>
        <w:t>Este projeto propõe, em primeiro lugar, o reconhecimento legal destas condições como deficiência no âmbito municipal. Esta medida não visa rotular, mas sim garantir direitos. Ao reconhecê-las como deficiência, equiparamos essas pessoas, para todos os efeitos legais em Bayeux, àquelas já amparadas pelo Estatuto da Pessoa com Deficiência (Lei Federal nº 13.146/2015), cujo artigo 2º define</w:t>
      </w:r>
      <w:r w:rsidR="0097713C">
        <w:rPr>
          <w:b w:val="0"/>
          <w:sz w:val="24"/>
          <w:szCs w:val="24"/>
        </w:rPr>
        <w:t>:</w:t>
      </w:r>
    </w:p>
    <w:p w14:paraId="247675FE" w14:textId="77777777" w:rsidR="0097713C" w:rsidRDefault="0097713C" w:rsidP="00724DCB">
      <w:pPr>
        <w:spacing w:line="360" w:lineRule="auto"/>
        <w:ind w:firstLine="708"/>
        <w:jc w:val="both"/>
        <w:rPr>
          <w:b w:val="0"/>
          <w:sz w:val="24"/>
          <w:szCs w:val="24"/>
        </w:rPr>
      </w:pPr>
    </w:p>
    <w:p w14:paraId="153B9F33" w14:textId="54C32CE4" w:rsidR="0097713C" w:rsidRPr="00BE6CF4" w:rsidRDefault="0097713C" w:rsidP="00BE6CF4">
      <w:pPr>
        <w:spacing w:line="276" w:lineRule="auto"/>
        <w:ind w:left="3402"/>
        <w:jc w:val="both"/>
        <w:rPr>
          <w:i/>
          <w:iCs/>
        </w:rPr>
      </w:pPr>
      <w:r w:rsidRPr="00BE6CF4">
        <w:rPr>
          <w:i/>
          <w:iCs/>
        </w:rPr>
        <w:t xml:space="preserve">Considera-se pessoa com deficiência aquela que tem impedimento de longo prazo de natureza física, mental, intelectual ou sensorial, o qual, em interação com uma ou mais barreiras, pode obstruir sua participação plena e efetiva na sociedade em igualdade de condições com as demais </w:t>
      </w:r>
      <w:r w:rsidR="00761111" w:rsidRPr="00BE6CF4">
        <w:rPr>
          <w:i/>
          <w:iCs/>
        </w:rPr>
        <w:t>pessoas. (...).</w:t>
      </w:r>
    </w:p>
    <w:p w14:paraId="18A9EBC3" w14:textId="77777777" w:rsidR="0097713C" w:rsidRPr="0097713C" w:rsidRDefault="0097713C" w:rsidP="0097713C">
      <w:pPr>
        <w:spacing w:line="360" w:lineRule="auto"/>
        <w:ind w:left="3402"/>
        <w:jc w:val="both"/>
        <w:rPr>
          <w:b w:val="0"/>
          <w:bCs/>
        </w:rPr>
      </w:pPr>
    </w:p>
    <w:p w14:paraId="0C23A962" w14:textId="71F31363" w:rsidR="009201E3" w:rsidRPr="009201E3" w:rsidRDefault="0097713C" w:rsidP="00724DCB">
      <w:pPr>
        <w:spacing w:line="360" w:lineRule="auto"/>
        <w:ind w:firstLine="708"/>
        <w:jc w:val="both"/>
        <w:rPr>
          <w:b w:val="0"/>
          <w:sz w:val="24"/>
          <w:szCs w:val="24"/>
        </w:rPr>
      </w:pPr>
      <w:r w:rsidRPr="0097713C">
        <w:rPr>
          <w:b w:val="0"/>
          <w:sz w:val="24"/>
          <w:szCs w:val="24"/>
        </w:rPr>
        <w:t xml:space="preserve"> </w:t>
      </w:r>
      <w:r w:rsidR="009201E3" w:rsidRPr="009201E3">
        <w:rPr>
          <w:b w:val="0"/>
          <w:sz w:val="24"/>
          <w:szCs w:val="24"/>
        </w:rPr>
        <w:t>Argumentamos que o TDAH, a Dislexia, o TAB e o TPB se enquadram perfeitamente nesta definição, representando impedimentos de natureza mental e intelectual que, diante das barreiras sociais, educacionais e atitudinais, dificultam a plena participação.</w:t>
      </w:r>
    </w:p>
    <w:p w14:paraId="7D0287CD" w14:textId="6520BF1A" w:rsidR="00761111" w:rsidRDefault="009201E3" w:rsidP="00761111">
      <w:pPr>
        <w:spacing w:line="360" w:lineRule="auto"/>
        <w:ind w:firstLine="708"/>
        <w:jc w:val="both"/>
        <w:rPr>
          <w:b w:val="0"/>
          <w:sz w:val="24"/>
          <w:szCs w:val="24"/>
        </w:rPr>
      </w:pPr>
      <w:r w:rsidRPr="009201E3">
        <w:rPr>
          <w:b w:val="0"/>
          <w:sz w:val="24"/>
          <w:szCs w:val="24"/>
        </w:rPr>
        <w:lastRenderedPageBreak/>
        <w:t>Vozes em nível federal, como a do Deputado Alex Manente, destacam as dificuldades trazidas pelo TDAH, justificando sua equiparação a deficiência para acesso a direitos</w:t>
      </w:r>
      <w:r w:rsidR="00761111">
        <w:rPr>
          <w:b w:val="0"/>
          <w:sz w:val="24"/>
          <w:szCs w:val="24"/>
        </w:rPr>
        <w:t>.</w:t>
      </w:r>
      <w:r w:rsidR="00761111">
        <w:rPr>
          <w:rStyle w:val="Refdenotaderodap"/>
          <w:b w:val="0"/>
          <w:sz w:val="24"/>
          <w:szCs w:val="24"/>
        </w:rPr>
        <w:footnoteReference w:id="6"/>
      </w:r>
    </w:p>
    <w:p w14:paraId="4F25BDE3" w14:textId="2C49697B" w:rsidR="009201E3" w:rsidRPr="009201E3" w:rsidRDefault="009201E3" w:rsidP="00761111">
      <w:pPr>
        <w:spacing w:line="360" w:lineRule="auto"/>
        <w:ind w:firstLine="708"/>
        <w:jc w:val="both"/>
        <w:rPr>
          <w:b w:val="0"/>
          <w:sz w:val="24"/>
          <w:szCs w:val="24"/>
        </w:rPr>
      </w:pPr>
      <w:r w:rsidRPr="009201E3">
        <w:rPr>
          <w:b w:val="0"/>
          <w:sz w:val="24"/>
          <w:szCs w:val="24"/>
        </w:rPr>
        <w:t>Projetos semelhantes, como o do Ministério Público de Mato Grosso, equiparam o TDAH a deficiência para fins legais, garantindo filas preferenciais e adaptações</w:t>
      </w:r>
      <w:r w:rsidR="00F42C03">
        <w:rPr>
          <w:b w:val="0"/>
          <w:sz w:val="24"/>
          <w:szCs w:val="24"/>
        </w:rPr>
        <w:t>.</w:t>
      </w:r>
      <w:r w:rsidR="00F42C03">
        <w:rPr>
          <w:rStyle w:val="Refdenotaderodap"/>
          <w:b w:val="0"/>
          <w:sz w:val="24"/>
          <w:szCs w:val="24"/>
        </w:rPr>
        <w:footnoteReference w:id="7"/>
      </w:r>
    </w:p>
    <w:p w14:paraId="300FE099" w14:textId="77777777" w:rsidR="00BE6CF4" w:rsidRDefault="009201E3" w:rsidP="00F42C03">
      <w:pPr>
        <w:spacing w:line="360" w:lineRule="auto"/>
        <w:ind w:firstLine="708"/>
        <w:jc w:val="both"/>
        <w:rPr>
          <w:b w:val="0"/>
          <w:sz w:val="24"/>
          <w:szCs w:val="24"/>
        </w:rPr>
      </w:pPr>
      <w:r w:rsidRPr="009201E3">
        <w:rPr>
          <w:b w:val="0"/>
          <w:sz w:val="24"/>
          <w:szCs w:val="24"/>
        </w:rPr>
        <w:t>Esta iniciativa não é isolada. Diversos estados e municípios brasileiros já avançaram neste reconhecimento, como Minas Gerais (</w:t>
      </w:r>
      <w:r w:rsidR="00701942">
        <w:rPr>
          <w:b w:val="0"/>
          <w:sz w:val="24"/>
          <w:szCs w:val="24"/>
        </w:rPr>
        <w:t xml:space="preserve">Projeto de </w:t>
      </w:r>
      <w:r w:rsidRPr="009201E3">
        <w:rPr>
          <w:b w:val="0"/>
          <w:sz w:val="24"/>
          <w:szCs w:val="24"/>
        </w:rPr>
        <w:t>Lei nº 1108/2023)</w:t>
      </w:r>
      <w:r w:rsidR="00701942">
        <w:rPr>
          <w:rStyle w:val="Refdenotaderodap"/>
          <w:b w:val="0"/>
          <w:sz w:val="24"/>
          <w:szCs w:val="24"/>
        </w:rPr>
        <w:footnoteReference w:id="8"/>
      </w:r>
      <w:r w:rsidRPr="009201E3">
        <w:rPr>
          <w:b w:val="0"/>
          <w:sz w:val="24"/>
          <w:szCs w:val="24"/>
        </w:rPr>
        <w:t>, Rio de Janeiro (P</w:t>
      </w:r>
      <w:r w:rsidR="00B409FA">
        <w:rPr>
          <w:b w:val="0"/>
          <w:sz w:val="24"/>
          <w:szCs w:val="24"/>
        </w:rPr>
        <w:t xml:space="preserve">rojeto de </w:t>
      </w:r>
      <w:r w:rsidRPr="009201E3">
        <w:rPr>
          <w:b w:val="0"/>
          <w:sz w:val="24"/>
          <w:szCs w:val="24"/>
        </w:rPr>
        <w:t>L</w:t>
      </w:r>
      <w:r w:rsidR="00B409FA">
        <w:rPr>
          <w:b w:val="0"/>
          <w:sz w:val="24"/>
          <w:szCs w:val="24"/>
        </w:rPr>
        <w:t>ei</w:t>
      </w:r>
      <w:r w:rsidRPr="009201E3">
        <w:rPr>
          <w:b w:val="0"/>
          <w:sz w:val="24"/>
          <w:szCs w:val="24"/>
        </w:rPr>
        <w:t xml:space="preserve"> nº 5199/2025), Mato Grosso (</w:t>
      </w:r>
      <w:r w:rsidR="00B86013">
        <w:rPr>
          <w:b w:val="0"/>
          <w:sz w:val="24"/>
          <w:szCs w:val="24"/>
        </w:rPr>
        <w:t xml:space="preserve">Projeto de </w:t>
      </w:r>
      <w:r w:rsidRPr="009201E3">
        <w:rPr>
          <w:b w:val="0"/>
          <w:sz w:val="24"/>
          <w:szCs w:val="24"/>
        </w:rPr>
        <w:t>Lei nº 726/2023), Paraná (</w:t>
      </w:r>
      <w:r w:rsidR="00CB341A">
        <w:rPr>
          <w:b w:val="0"/>
          <w:sz w:val="24"/>
          <w:szCs w:val="24"/>
        </w:rPr>
        <w:t xml:space="preserve">Projeto de </w:t>
      </w:r>
      <w:r w:rsidRPr="009201E3">
        <w:rPr>
          <w:b w:val="0"/>
          <w:sz w:val="24"/>
          <w:szCs w:val="24"/>
        </w:rPr>
        <w:t>Lei nº 23630/2021), e municípios como Mauá/SP (Lei nº 6076/2023)</w:t>
      </w:r>
      <w:r w:rsidR="00153312">
        <w:rPr>
          <w:rStyle w:val="Refdenotaderodap"/>
          <w:b w:val="0"/>
          <w:sz w:val="24"/>
          <w:szCs w:val="24"/>
        </w:rPr>
        <w:footnoteReference w:id="9"/>
      </w:r>
      <w:r w:rsidRPr="009201E3">
        <w:rPr>
          <w:b w:val="0"/>
          <w:sz w:val="24"/>
          <w:szCs w:val="24"/>
        </w:rPr>
        <w:t xml:space="preserve"> e Santa Rita/PB (P</w:t>
      </w:r>
      <w:r w:rsidR="00B409FA">
        <w:rPr>
          <w:b w:val="0"/>
          <w:sz w:val="24"/>
          <w:szCs w:val="24"/>
        </w:rPr>
        <w:t xml:space="preserve">rojeto de </w:t>
      </w:r>
      <w:r w:rsidRPr="009201E3">
        <w:rPr>
          <w:b w:val="0"/>
          <w:sz w:val="24"/>
          <w:szCs w:val="24"/>
        </w:rPr>
        <w:t>L</w:t>
      </w:r>
      <w:r w:rsidR="00B409FA">
        <w:rPr>
          <w:b w:val="0"/>
          <w:sz w:val="24"/>
          <w:szCs w:val="24"/>
        </w:rPr>
        <w:t>ei</w:t>
      </w:r>
      <w:r w:rsidRPr="009201E3">
        <w:rPr>
          <w:b w:val="0"/>
          <w:sz w:val="24"/>
          <w:szCs w:val="24"/>
        </w:rPr>
        <w:t xml:space="preserve"> nº 94/2024)</w:t>
      </w:r>
      <w:r w:rsidR="003010AD">
        <w:rPr>
          <w:rStyle w:val="Refdenotaderodap"/>
          <w:b w:val="0"/>
          <w:sz w:val="24"/>
          <w:szCs w:val="24"/>
        </w:rPr>
        <w:footnoteReference w:id="10"/>
      </w:r>
      <w:r w:rsidRPr="009201E3">
        <w:rPr>
          <w:b w:val="0"/>
          <w:sz w:val="24"/>
          <w:szCs w:val="24"/>
        </w:rPr>
        <w:t xml:space="preserve">, entre outros. </w:t>
      </w:r>
      <w:r w:rsidR="003010AD">
        <w:rPr>
          <w:b w:val="0"/>
          <w:sz w:val="24"/>
          <w:szCs w:val="24"/>
        </w:rPr>
        <w:tab/>
      </w:r>
    </w:p>
    <w:p w14:paraId="75F28A86" w14:textId="1080963A" w:rsidR="009201E3" w:rsidRPr="009201E3" w:rsidRDefault="009201E3" w:rsidP="00F42C03">
      <w:pPr>
        <w:spacing w:line="360" w:lineRule="auto"/>
        <w:ind w:firstLine="708"/>
        <w:jc w:val="both"/>
        <w:rPr>
          <w:b w:val="0"/>
          <w:sz w:val="24"/>
          <w:szCs w:val="24"/>
        </w:rPr>
      </w:pPr>
      <w:r w:rsidRPr="009201E3">
        <w:rPr>
          <w:b w:val="0"/>
          <w:sz w:val="24"/>
          <w:szCs w:val="24"/>
        </w:rPr>
        <w:t>Há, inclusive, o Projeto de Lei Federal nº 2630/2021 em tramitação no Congresso Nacional com o mesmo objetivo</w:t>
      </w:r>
      <w:r w:rsidR="00212382">
        <w:rPr>
          <w:b w:val="0"/>
          <w:sz w:val="24"/>
          <w:szCs w:val="24"/>
        </w:rPr>
        <w:t>.</w:t>
      </w:r>
      <w:r w:rsidR="00212382">
        <w:rPr>
          <w:rStyle w:val="Refdenotaderodap"/>
          <w:b w:val="0"/>
          <w:sz w:val="24"/>
          <w:szCs w:val="24"/>
        </w:rPr>
        <w:footnoteReference w:id="11"/>
      </w:r>
      <w:r w:rsidRPr="009201E3">
        <w:rPr>
          <w:b w:val="0"/>
          <w:sz w:val="24"/>
          <w:szCs w:val="24"/>
        </w:rPr>
        <w:t xml:space="preserve"> Além disso, decisões judiciais têm reforçado a necessidade de garantir direitos e adaptações a essas pessoas, como o tempo adicional em provas e concursos.</w:t>
      </w:r>
    </w:p>
    <w:p w14:paraId="217B1EF0" w14:textId="77777777" w:rsidR="00BE6CF4" w:rsidRDefault="009201E3" w:rsidP="00BE6CF4">
      <w:pPr>
        <w:spacing w:line="360" w:lineRule="auto"/>
        <w:ind w:firstLine="708"/>
        <w:jc w:val="both"/>
        <w:rPr>
          <w:b w:val="0"/>
          <w:sz w:val="24"/>
          <w:szCs w:val="24"/>
        </w:rPr>
      </w:pPr>
      <w:r w:rsidRPr="009201E3">
        <w:rPr>
          <w:b w:val="0"/>
          <w:sz w:val="24"/>
          <w:szCs w:val="24"/>
        </w:rPr>
        <w:t xml:space="preserve">Em nosso próprio município, já demonstramos sensibilidade a causas relacionadas à inclusão. </w:t>
      </w:r>
      <w:r w:rsidR="00212382">
        <w:rPr>
          <w:b w:val="0"/>
          <w:sz w:val="24"/>
          <w:szCs w:val="24"/>
        </w:rPr>
        <w:tab/>
      </w:r>
      <w:r w:rsidRPr="009201E3">
        <w:rPr>
          <w:b w:val="0"/>
          <w:sz w:val="24"/>
          <w:szCs w:val="24"/>
        </w:rPr>
        <w:t>A competência para legislar sobre o tema é inquestionável.</w:t>
      </w:r>
      <w:r w:rsidR="009F2B3D">
        <w:rPr>
          <w:b w:val="0"/>
          <w:sz w:val="24"/>
          <w:szCs w:val="24"/>
        </w:rPr>
        <w:tab/>
      </w:r>
    </w:p>
    <w:p w14:paraId="7E2B287C" w14:textId="4C9F9745" w:rsidR="009201E3" w:rsidRPr="009201E3" w:rsidRDefault="009201E3" w:rsidP="00BE6CF4">
      <w:pPr>
        <w:spacing w:line="360" w:lineRule="auto"/>
        <w:ind w:firstLine="708"/>
        <w:jc w:val="both"/>
        <w:rPr>
          <w:b w:val="0"/>
          <w:sz w:val="24"/>
          <w:szCs w:val="24"/>
        </w:rPr>
      </w:pPr>
      <w:r w:rsidRPr="009201E3">
        <w:rPr>
          <w:b w:val="0"/>
          <w:sz w:val="24"/>
          <w:szCs w:val="24"/>
        </w:rPr>
        <w:t xml:space="preserve"> A Constituição Federal, em seu artigo 30, incisos I e II, confere aos Municípios a competência para legislar sobre assuntos de interesse local e suplementar a legislação federal e estadual no que couber.</w:t>
      </w:r>
      <w:r w:rsidR="008F68C8">
        <w:rPr>
          <w:rStyle w:val="Refdenotaderodap"/>
          <w:b w:val="0"/>
          <w:sz w:val="24"/>
          <w:szCs w:val="24"/>
        </w:rPr>
        <w:footnoteReference w:id="12"/>
      </w:r>
      <w:r w:rsidR="000370D0">
        <w:rPr>
          <w:b w:val="0"/>
          <w:sz w:val="24"/>
          <w:szCs w:val="24"/>
        </w:rPr>
        <w:tab/>
      </w:r>
      <w:r w:rsidR="000370D0">
        <w:rPr>
          <w:b w:val="0"/>
          <w:sz w:val="24"/>
          <w:szCs w:val="24"/>
        </w:rPr>
        <w:tab/>
      </w:r>
      <w:r w:rsidRPr="009201E3">
        <w:rPr>
          <w:b w:val="0"/>
          <w:sz w:val="24"/>
          <w:szCs w:val="24"/>
        </w:rPr>
        <w:t>A proteção da saúde, a educação inclusiva e a assistência social são, indubitavelmente, matérias de interesse local que afetam diretamente a vida dos munícipes de Bayeux.</w:t>
      </w:r>
    </w:p>
    <w:p w14:paraId="27C34067" w14:textId="77777777" w:rsidR="00471EA9" w:rsidRDefault="009201E3" w:rsidP="000370D0">
      <w:pPr>
        <w:spacing w:line="360" w:lineRule="auto"/>
        <w:ind w:firstLine="708"/>
        <w:jc w:val="both"/>
        <w:rPr>
          <w:b w:val="0"/>
          <w:sz w:val="24"/>
          <w:szCs w:val="24"/>
        </w:rPr>
      </w:pPr>
      <w:r w:rsidRPr="009201E3">
        <w:rPr>
          <w:b w:val="0"/>
          <w:sz w:val="24"/>
          <w:szCs w:val="24"/>
        </w:rPr>
        <w:t>Quanto à constitucionalidade, esta proposta respeita a Lei Orgânica do Município de Bayeux</w:t>
      </w:r>
      <w:r w:rsidR="00471EA9">
        <w:rPr>
          <w:b w:val="0"/>
          <w:sz w:val="24"/>
          <w:szCs w:val="24"/>
        </w:rPr>
        <w:t xml:space="preserve"> e o</w:t>
      </w:r>
      <w:r w:rsidRPr="009201E3">
        <w:rPr>
          <w:b w:val="0"/>
          <w:sz w:val="24"/>
          <w:szCs w:val="24"/>
        </w:rPr>
        <w:t xml:space="preserve"> Regimento Interno </w:t>
      </w:r>
      <w:r w:rsidR="00471EA9">
        <w:rPr>
          <w:b w:val="0"/>
          <w:sz w:val="24"/>
          <w:szCs w:val="24"/>
        </w:rPr>
        <w:t>desta Casa Legislativa</w:t>
      </w:r>
      <w:r w:rsidRPr="009201E3">
        <w:rPr>
          <w:b w:val="0"/>
          <w:sz w:val="24"/>
          <w:szCs w:val="24"/>
        </w:rPr>
        <w:t xml:space="preserve"> embasam a juridicidade, permitindo legislar sobre políticas locais sem invadir competências federais. </w:t>
      </w:r>
      <w:r w:rsidR="00471EA9">
        <w:rPr>
          <w:b w:val="0"/>
          <w:sz w:val="24"/>
          <w:szCs w:val="24"/>
        </w:rPr>
        <w:tab/>
      </w:r>
    </w:p>
    <w:p w14:paraId="58BD28C9" w14:textId="150DC7B4" w:rsidR="009201E3" w:rsidRPr="009201E3" w:rsidRDefault="009201E3" w:rsidP="000370D0">
      <w:pPr>
        <w:spacing w:line="360" w:lineRule="auto"/>
        <w:ind w:firstLine="708"/>
        <w:jc w:val="both"/>
        <w:rPr>
          <w:b w:val="0"/>
          <w:sz w:val="24"/>
          <w:szCs w:val="24"/>
        </w:rPr>
      </w:pPr>
      <w:r w:rsidRPr="009201E3">
        <w:rPr>
          <w:b w:val="0"/>
          <w:sz w:val="24"/>
          <w:szCs w:val="24"/>
        </w:rPr>
        <w:t xml:space="preserve">Esta propositura não </w:t>
      </w:r>
      <w:r w:rsidR="00471EA9" w:rsidRPr="009201E3">
        <w:rPr>
          <w:b w:val="0"/>
          <w:sz w:val="24"/>
          <w:szCs w:val="24"/>
        </w:rPr>
        <w:t>cria</w:t>
      </w:r>
      <w:r w:rsidRPr="009201E3">
        <w:rPr>
          <w:b w:val="0"/>
          <w:sz w:val="24"/>
          <w:szCs w:val="24"/>
        </w:rPr>
        <w:t xml:space="preserve"> estruturas administrativas nem ordena despesas específicas sem previsão, mas estabelece diretrizes e reconhece direitos. </w:t>
      </w:r>
      <w:r w:rsidR="00471EA9">
        <w:rPr>
          <w:b w:val="0"/>
          <w:sz w:val="24"/>
          <w:szCs w:val="24"/>
        </w:rPr>
        <w:tab/>
      </w:r>
      <w:r w:rsidRPr="009201E3">
        <w:rPr>
          <w:b w:val="0"/>
          <w:sz w:val="24"/>
          <w:szCs w:val="24"/>
        </w:rPr>
        <w:t>A redação segue princípios de clareza e precisão, alinhada à Lei Complementar Federal nº 95/1998.</w:t>
      </w:r>
    </w:p>
    <w:p w14:paraId="4FDBD4FF" w14:textId="77777777" w:rsidR="00471EA9" w:rsidRDefault="009201E3" w:rsidP="00471EA9">
      <w:pPr>
        <w:spacing w:line="360" w:lineRule="auto"/>
        <w:ind w:firstLine="708"/>
        <w:jc w:val="both"/>
        <w:rPr>
          <w:b w:val="0"/>
          <w:sz w:val="24"/>
          <w:szCs w:val="24"/>
        </w:rPr>
      </w:pPr>
      <w:r w:rsidRPr="009201E3">
        <w:rPr>
          <w:b w:val="0"/>
          <w:sz w:val="24"/>
          <w:szCs w:val="24"/>
        </w:rPr>
        <w:t xml:space="preserve">O projeto detalha direitos essenciais, como o atendimento prioritário em filas e o uso de vagas especiais. </w:t>
      </w:r>
      <w:r w:rsidR="00471EA9">
        <w:rPr>
          <w:b w:val="0"/>
          <w:sz w:val="24"/>
          <w:szCs w:val="24"/>
        </w:rPr>
        <w:tab/>
      </w:r>
    </w:p>
    <w:p w14:paraId="6BD29E14" w14:textId="3F8720B0" w:rsidR="009201E3" w:rsidRPr="009201E3" w:rsidRDefault="009201E3" w:rsidP="00471EA9">
      <w:pPr>
        <w:spacing w:line="360" w:lineRule="auto"/>
        <w:ind w:firstLine="708"/>
        <w:jc w:val="both"/>
        <w:rPr>
          <w:b w:val="0"/>
          <w:sz w:val="24"/>
          <w:szCs w:val="24"/>
        </w:rPr>
      </w:pPr>
      <w:r w:rsidRPr="009201E3">
        <w:rPr>
          <w:b w:val="0"/>
          <w:sz w:val="24"/>
          <w:szCs w:val="24"/>
        </w:rPr>
        <w:t xml:space="preserve">Para muitos com TDAH, TAB ou TPB, a espera prolongada pode gerar ansiedade, agitação e desregulação emocional, tornando o acesso prioritário não um privilégio, mas </w:t>
      </w:r>
      <w:r w:rsidRPr="009201E3">
        <w:rPr>
          <w:b w:val="0"/>
          <w:sz w:val="24"/>
          <w:szCs w:val="24"/>
        </w:rPr>
        <w:lastRenderedPageBreak/>
        <w:t xml:space="preserve">uma necessidade para garantir a participação social em igualdade. </w:t>
      </w:r>
      <w:r w:rsidR="00471EA9">
        <w:rPr>
          <w:b w:val="0"/>
          <w:sz w:val="24"/>
          <w:szCs w:val="24"/>
        </w:rPr>
        <w:tab/>
      </w:r>
      <w:r w:rsidRPr="009201E3">
        <w:rPr>
          <w:b w:val="0"/>
          <w:sz w:val="24"/>
          <w:szCs w:val="24"/>
        </w:rPr>
        <w:t>A Dislexia, embora diferente, também pode estar associada a comorbidades que justifiquem tal necessidade.</w:t>
      </w:r>
    </w:p>
    <w:p w14:paraId="0A075729" w14:textId="24155B7C" w:rsidR="009201E3" w:rsidRPr="009201E3" w:rsidRDefault="009201E3" w:rsidP="00471EA9">
      <w:pPr>
        <w:spacing w:line="360" w:lineRule="auto"/>
        <w:ind w:firstLine="708"/>
        <w:jc w:val="both"/>
        <w:rPr>
          <w:b w:val="0"/>
          <w:sz w:val="24"/>
          <w:szCs w:val="24"/>
        </w:rPr>
      </w:pPr>
      <w:r w:rsidRPr="009201E3">
        <w:rPr>
          <w:b w:val="0"/>
          <w:sz w:val="24"/>
          <w:szCs w:val="24"/>
        </w:rPr>
        <w:t xml:space="preserve">Na esfera educacional, garantimos adaptações cruciais como a dilatação de tempo em avaliações para TDAH e Dislexia, em consonância com a Lei Federal nº 14.254/2021 e os princípios da Lei Brasileira de Inclusão. </w:t>
      </w:r>
      <w:r w:rsidR="0062484B">
        <w:rPr>
          <w:b w:val="0"/>
          <w:sz w:val="24"/>
          <w:szCs w:val="24"/>
        </w:rPr>
        <w:tab/>
      </w:r>
      <w:r w:rsidRPr="009201E3">
        <w:rPr>
          <w:b w:val="0"/>
          <w:sz w:val="24"/>
          <w:szCs w:val="24"/>
        </w:rPr>
        <w:t>Negar essas adaptações é perpetuar a desigualdade e impedir que esses estudantes demonstrem seu real potencial.</w:t>
      </w:r>
    </w:p>
    <w:p w14:paraId="56A776F7" w14:textId="4871307C" w:rsidR="009201E3" w:rsidRPr="009201E3" w:rsidRDefault="009201E3" w:rsidP="0062484B">
      <w:pPr>
        <w:spacing w:line="360" w:lineRule="auto"/>
        <w:ind w:firstLine="708"/>
        <w:jc w:val="both"/>
        <w:rPr>
          <w:b w:val="0"/>
          <w:sz w:val="24"/>
          <w:szCs w:val="24"/>
        </w:rPr>
      </w:pPr>
      <w:r w:rsidRPr="009201E3">
        <w:rPr>
          <w:b w:val="0"/>
          <w:sz w:val="24"/>
          <w:szCs w:val="24"/>
        </w:rPr>
        <w:t>Propomos também a adoção do Cordão de Girassol como instrumento facultativo de identificação, alinhando Bayeux à Lei Federal nº 14.624/2023</w:t>
      </w:r>
      <w:r w:rsidR="0062484B">
        <w:rPr>
          <w:b w:val="0"/>
          <w:sz w:val="24"/>
          <w:szCs w:val="24"/>
        </w:rPr>
        <w:t xml:space="preserve">, </w:t>
      </w:r>
      <w:r w:rsidRPr="009201E3">
        <w:rPr>
          <w:b w:val="0"/>
          <w:sz w:val="24"/>
          <w:szCs w:val="24"/>
        </w:rPr>
        <w:t>que formalizou seu uso nacionalmente para deficiências ocultas</w:t>
      </w:r>
      <w:r w:rsidR="0062484B">
        <w:rPr>
          <w:rStyle w:val="Refdenotaderodap"/>
          <w:b w:val="0"/>
          <w:sz w:val="24"/>
          <w:szCs w:val="24"/>
        </w:rPr>
        <w:footnoteReference w:id="13"/>
      </w:r>
      <w:r w:rsidRPr="009201E3">
        <w:rPr>
          <w:b w:val="0"/>
          <w:sz w:val="24"/>
          <w:szCs w:val="24"/>
        </w:rPr>
        <w:t>, facilitando atendimentos. Este símbolo simples pode ser adotado aqui para facilitar o reconhecimento, o respeito aos direitos e evitar constrangimentos, como relatado em casos de discriminação em filas, sem a necessidade de explicações constrangedoras</w:t>
      </w:r>
      <w:r w:rsidR="0062484B">
        <w:rPr>
          <w:b w:val="0"/>
          <w:sz w:val="24"/>
          <w:szCs w:val="24"/>
        </w:rPr>
        <w:t>.</w:t>
      </w:r>
      <w:r w:rsidRPr="009201E3">
        <w:rPr>
          <w:b w:val="0"/>
          <w:sz w:val="24"/>
          <w:szCs w:val="24"/>
        </w:rPr>
        <w:t xml:space="preserve"> </w:t>
      </w:r>
      <w:r w:rsidR="0062484B">
        <w:rPr>
          <w:rStyle w:val="Refdenotaderodap"/>
          <w:b w:val="0"/>
          <w:sz w:val="24"/>
          <w:szCs w:val="24"/>
        </w:rPr>
        <w:footnoteReference w:id="14"/>
      </w:r>
    </w:p>
    <w:p w14:paraId="718BCEF9" w14:textId="6F603089" w:rsidR="009201E3" w:rsidRPr="009201E3" w:rsidRDefault="009201E3" w:rsidP="0062484B">
      <w:pPr>
        <w:spacing w:line="360" w:lineRule="auto"/>
        <w:ind w:firstLine="708"/>
        <w:jc w:val="both"/>
        <w:rPr>
          <w:b w:val="0"/>
          <w:sz w:val="24"/>
          <w:szCs w:val="24"/>
        </w:rPr>
      </w:pPr>
      <w:r w:rsidRPr="009201E3">
        <w:rPr>
          <w:b w:val="0"/>
          <w:sz w:val="24"/>
          <w:szCs w:val="24"/>
        </w:rPr>
        <w:t xml:space="preserve">Finalmente, as diretrizes estabelecidas no Art. 3º buscam </w:t>
      </w:r>
      <w:r w:rsidR="00000F63">
        <w:rPr>
          <w:b w:val="0"/>
          <w:sz w:val="24"/>
          <w:szCs w:val="24"/>
        </w:rPr>
        <w:t>constituir</w:t>
      </w:r>
      <w:r w:rsidRPr="009201E3">
        <w:rPr>
          <w:b w:val="0"/>
          <w:sz w:val="24"/>
          <w:szCs w:val="24"/>
        </w:rPr>
        <w:t xml:space="preserve"> uma rede de apoio intersetorial, capacitar profissionais, promover a inclusão no trabalho e, acima de tudo, combater a desinformação e o preconceito por meio de campanhas de conscientização.</w:t>
      </w:r>
    </w:p>
    <w:p w14:paraId="1B902038" w14:textId="6AE2C9CB" w:rsidR="009201E3" w:rsidRPr="009201E3" w:rsidRDefault="009201E3" w:rsidP="00511FB4">
      <w:pPr>
        <w:spacing w:line="360" w:lineRule="auto"/>
        <w:ind w:firstLine="708"/>
        <w:jc w:val="both"/>
        <w:rPr>
          <w:b w:val="0"/>
          <w:sz w:val="24"/>
          <w:szCs w:val="24"/>
        </w:rPr>
      </w:pPr>
      <w:r w:rsidRPr="009201E3">
        <w:rPr>
          <w:b w:val="0"/>
          <w:sz w:val="24"/>
          <w:szCs w:val="24"/>
        </w:rPr>
        <w:t xml:space="preserve">Caros colegas, aprovar este Projeto de Lei é um ato de justiça, empatia e responsabilidade social. </w:t>
      </w:r>
      <w:r w:rsidR="00511FB4">
        <w:rPr>
          <w:b w:val="0"/>
          <w:sz w:val="24"/>
          <w:szCs w:val="24"/>
        </w:rPr>
        <w:tab/>
      </w:r>
      <w:r w:rsidRPr="009201E3">
        <w:rPr>
          <w:b w:val="0"/>
          <w:sz w:val="24"/>
          <w:szCs w:val="24"/>
        </w:rPr>
        <w:t xml:space="preserve">É reconhecer que a diversidade humana inclui diferentes formas de funcionar e aprender. </w:t>
      </w:r>
      <w:r w:rsidR="00511FB4">
        <w:rPr>
          <w:b w:val="0"/>
          <w:sz w:val="24"/>
          <w:szCs w:val="24"/>
        </w:rPr>
        <w:tab/>
      </w:r>
      <w:r w:rsidRPr="009201E3">
        <w:rPr>
          <w:b w:val="0"/>
          <w:sz w:val="24"/>
          <w:szCs w:val="24"/>
        </w:rPr>
        <w:t>É estender a mão a quem precisa de apoio para superar barreiras.</w:t>
      </w:r>
      <w:r w:rsidR="00511FB4">
        <w:rPr>
          <w:b w:val="0"/>
          <w:sz w:val="24"/>
          <w:szCs w:val="24"/>
        </w:rPr>
        <w:tab/>
      </w:r>
      <w:r w:rsidRPr="009201E3">
        <w:rPr>
          <w:b w:val="0"/>
          <w:sz w:val="24"/>
          <w:szCs w:val="24"/>
        </w:rPr>
        <w:t xml:space="preserve"> Este projeto é um passo para uma Bayeux verdadeiramente inclusiva, onde ninguém seja abandonado por barreiras invisíveis.</w:t>
      </w:r>
    </w:p>
    <w:p w14:paraId="39B8F534" w14:textId="77777777" w:rsidR="00511FB4" w:rsidRDefault="009201E3" w:rsidP="00511FB4">
      <w:pPr>
        <w:spacing w:line="360" w:lineRule="auto"/>
        <w:ind w:firstLine="708"/>
        <w:jc w:val="both"/>
        <w:rPr>
          <w:b w:val="0"/>
          <w:sz w:val="24"/>
          <w:szCs w:val="24"/>
        </w:rPr>
      </w:pPr>
      <w:r w:rsidRPr="009201E3">
        <w:rPr>
          <w:b w:val="0"/>
          <w:sz w:val="24"/>
          <w:szCs w:val="24"/>
        </w:rPr>
        <w:t xml:space="preserve">Convido os nobres pares a aprová-lo, honrando nosso compromisso com a dignidade humana. </w:t>
      </w:r>
    </w:p>
    <w:p w14:paraId="29A38151" w14:textId="77777777" w:rsidR="00511FB4" w:rsidRDefault="00511FB4" w:rsidP="00511FB4">
      <w:pPr>
        <w:spacing w:line="360" w:lineRule="auto"/>
        <w:ind w:firstLine="708"/>
        <w:jc w:val="both"/>
        <w:rPr>
          <w:b w:val="0"/>
          <w:sz w:val="24"/>
          <w:szCs w:val="24"/>
        </w:rPr>
      </w:pPr>
    </w:p>
    <w:p w14:paraId="45D06C62" w14:textId="77777777" w:rsidR="00596AE3" w:rsidRPr="00596AE3" w:rsidRDefault="00596AE3" w:rsidP="00596AE3">
      <w:pPr>
        <w:pStyle w:val="NormalWeb"/>
        <w:spacing w:before="0" w:beforeAutospacing="0" w:after="0" w:afterAutospacing="0"/>
        <w:jc w:val="right"/>
        <w:rPr>
          <w:bCs/>
        </w:rPr>
      </w:pPr>
      <w:r w:rsidRPr="00596AE3">
        <w:rPr>
          <w:bCs/>
        </w:rPr>
        <w:t>Sala das Sessões da Câmara Municipal de Bayeux, 24 de outubro de 2025.</w:t>
      </w:r>
    </w:p>
    <w:p w14:paraId="06F79889" w14:textId="77777777" w:rsidR="00566C0A" w:rsidRPr="00917A94" w:rsidRDefault="00566C0A" w:rsidP="00566C0A">
      <w:pPr>
        <w:pStyle w:val="NormalWeb"/>
        <w:spacing w:before="0" w:beforeAutospacing="0" w:after="0" w:afterAutospacing="0" w:line="360" w:lineRule="auto"/>
        <w:jc w:val="center"/>
        <w:rPr>
          <w:rStyle w:val="Forte"/>
          <w:rFonts w:eastAsiaTheme="majorEastAsia"/>
        </w:rPr>
      </w:pPr>
    </w:p>
    <w:p w14:paraId="63A3733E" w14:textId="53B80259" w:rsidR="00566C0A" w:rsidRDefault="007C2DF6" w:rsidP="00566C0A">
      <w:pPr>
        <w:pStyle w:val="NormalWeb"/>
        <w:spacing w:before="0" w:beforeAutospacing="0" w:after="0" w:afterAutospacing="0" w:line="360" w:lineRule="auto"/>
        <w:jc w:val="center"/>
        <w:rPr>
          <w:rStyle w:val="Forte"/>
          <w:rFonts w:eastAsiaTheme="majorEastAsia"/>
        </w:rPr>
      </w:pPr>
      <w:r>
        <w:rPr>
          <w:bCs/>
          <w:noProof/>
        </w:rPr>
        <w:drawing>
          <wp:anchor distT="0" distB="0" distL="114300" distR="114300" simplePos="0" relativeHeight="251660288" behindDoc="0" locked="0" layoutInCell="1" allowOverlap="1" wp14:anchorId="37F0B535" wp14:editId="75F9065E">
            <wp:simplePos x="0" y="0"/>
            <wp:positionH relativeFrom="column">
              <wp:posOffset>1661836</wp:posOffset>
            </wp:positionH>
            <wp:positionV relativeFrom="paragraph">
              <wp:posOffset>233202</wp:posOffset>
            </wp:positionV>
            <wp:extent cx="2006929" cy="483324"/>
            <wp:effectExtent l="0" t="0" r="0" b="0"/>
            <wp:wrapNone/>
            <wp:docPr id="2101943839" name="Imagem 1" descr="For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244107" name="Imagem 1" descr="Forma&#10;&#10;O conteúdo gerado por IA pode estar incorre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06929" cy="483324"/>
                    </a:xfrm>
                    <a:prstGeom prst="rect">
                      <a:avLst/>
                    </a:prstGeom>
                  </pic:spPr>
                </pic:pic>
              </a:graphicData>
            </a:graphic>
            <wp14:sizeRelH relativeFrom="page">
              <wp14:pctWidth>0</wp14:pctWidth>
            </wp14:sizeRelH>
            <wp14:sizeRelV relativeFrom="page">
              <wp14:pctHeight>0</wp14:pctHeight>
            </wp14:sizeRelV>
          </wp:anchor>
        </w:drawing>
      </w:r>
    </w:p>
    <w:p w14:paraId="10890990" w14:textId="342D94F3" w:rsidR="00566C0A" w:rsidRPr="00917A94" w:rsidRDefault="00566C0A" w:rsidP="00566C0A">
      <w:pPr>
        <w:pStyle w:val="NormalWeb"/>
        <w:spacing w:before="0" w:beforeAutospacing="0" w:after="0" w:afterAutospacing="0" w:line="360" w:lineRule="auto"/>
        <w:jc w:val="center"/>
        <w:rPr>
          <w:rStyle w:val="Forte"/>
          <w:rFonts w:eastAsiaTheme="majorEastAsia"/>
        </w:rPr>
      </w:pPr>
    </w:p>
    <w:p w14:paraId="74408C56" w14:textId="77777777" w:rsidR="00566C0A" w:rsidRPr="00511FB4" w:rsidRDefault="00566C0A" w:rsidP="00566C0A">
      <w:pPr>
        <w:pStyle w:val="NormalWeb"/>
        <w:spacing w:before="0" w:beforeAutospacing="0" w:after="0" w:afterAutospacing="0"/>
        <w:jc w:val="center"/>
        <w:rPr>
          <w:rStyle w:val="Forte"/>
          <w:rFonts w:eastAsiaTheme="majorEastAsia"/>
        </w:rPr>
      </w:pPr>
      <w:r w:rsidRPr="00511FB4">
        <w:rPr>
          <w:rStyle w:val="Forte"/>
          <w:rFonts w:eastAsiaTheme="majorEastAsia"/>
        </w:rPr>
        <w:t>Wagner do Grau</w:t>
      </w:r>
    </w:p>
    <w:p w14:paraId="6B54B3D4" w14:textId="6422C817" w:rsidR="00566C0A" w:rsidRPr="00511FB4" w:rsidRDefault="00566C0A" w:rsidP="00566C0A">
      <w:pPr>
        <w:pStyle w:val="NormalWeb"/>
        <w:spacing w:before="0" w:beforeAutospacing="0" w:after="0" w:afterAutospacing="0"/>
        <w:jc w:val="center"/>
        <w:rPr>
          <w:bCs/>
        </w:rPr>
      </w:pPr>
      <w:r w:rsidRPr="00511FB4">
        <w:rPr>
          <w:bCs/>
          <w:sz w:val="20"/>
          <w:szCs w:val="20"/>
        </w:rPr>
        <w:t xml:space="preserve">Vereador - PSD </w:t>
      </w:r>
    </w:p>
    <w:p w14:paraId="1D72E823" w14:textId="77777777" w:rsidR="00383013" w:rsidRPr="00917A94" w:rsidRDefault="00383013" w:rsidP="00383013"/>
    <w:p w14:paraId="5C405490" w14:textId="77777777" w:rsidR="00383013" w:rsidRPr="00917A94" w:rsidRDefault="00383013" w:rsidP="00383013"/>
    <w:p w14:paraId="4848AC56" w14:textId="77777777" w:rsidR="00B54D2B" w:rsidRPr="00917A94" w:rsidRDefault="00B54D2B" w:rsidP="00383013"/>
    <w:sectPr w:rsidR="00B54D2B" w:rsidRPr="00917A94" w:rsidSect="007C2DF6">
      <w:headerReference w:type="default" r:id="rId8"/>
      <w:footerReference w:type="default" r:id="rId9"/>
      <w:headerReference w:type="first" r:id="rId10"/>
      <w:footerReference w:type="first" r:id="rId11"/>
      <w:pgSz w:w="11906" w:h="16838"/>
      <w:pgMar w:top="1276" w:right="1701" w:bottom="993" w:left="1701" w:header="71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3BCB79" w14:textId="77777777" w:rsidR="00760561" w:rsidRDefault="00760561" w:rsidP="00773388">
      <w:r>
        <w:separator/>
      </w:r>
    </w:p>
  </w:endnote>
  <w:endnote w:type="continuationSeparator" w:id="0">
    <w:p w14:paraId="72325945" w14:textId="77777777" w:rsidR="00760561" w:rsidRDefault="00760561" w:rsidP="007733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0"/>
        <w:szCs w:val="10"/>
      </w:rPr>
      <w:id w:val="991524921"/>
      <w:docPartObj>
        <w:docPartGallery w:val="Page Numbers (Bottom of Page)"/>
        <w:docPartUnique/>
      </w:docPartObj>
    </w:sdtPr>
    <w:sdtContent>
      <w:sdt>
        <w:sdtPr>
          <w:rPr>
            <w:sz w:val="10"/>
            <w:szCs w:val="10"/>
          </w:rPr>
          <w:id w:val="1826313627"/>
          <w:docPartObj>
            <w:docPartGallery w:val="Page Numbers (Top of Page)"/>
            <w:docPartUnique/>
          </w:docPartObj>
        </w:sdtPr>
        <w:sdtContent>
          <w:p w14:paraId="28D3D013" w14:textId="77777777" w:rsidR="007C2DF6" w:rsidRDefault="007C2DF6" w:rsidP="007C2DF6">
            <w:pPr>
              <w:pStyle w:val="Rodap"/>
              <w:tabs>
                <w:tab w:val="clear" w:pos="8504"/>
              </w:tabs>
              <w:ind w:right="-1419"/>
              <w:jc w:val="right"/>
              <w:rPr>
                <w:sz w:val="10"/>
                <w:szCs w:val="10"/>
              </w:rPr>
            </w:pPr>
          </w:p>
          <w:p w14:paraId="4A54EE07" w14:textId="3356ED21" w:rsidR="007C2DF6" w:rsidRPr="00CF2354" w:rsidRDefault="007C2DF6" w:rsidP="007C2DF6">
            <w:pPr>
              <w:pStyle w:val="Rodap"/>
              <w:tabs>
                <w:tab w:val="clear" w:pos="8504"/>
              </w:tabs>
              <w:ind w:right="-1419"/>
              <w:jc w:val="right"/>
              <w:rPr>
                <w:sz w:val="10"/>
                <w:szCs w:val="10"/>
              </w:rPr>
            </w:pPr>
            <w:r w:rsidRPr="00CF2354">
              <w:rPr>
                <w:sz w:val="10"/>
                <w:szCs w:val="10"/>
              </w:rPr>
              <w:t xml:space="preserve">Página </w:t>
            </w:r>
            <w:r w:rsidRPr="00CF2354">
              <w:rPr>
                <w:b w:val="0"/>
                <w:bCs/>
                <w:sz w:val="14"/>
                <w:szCs w:val="14"/>
              </w:rPr>
              <w:fldChar w:fldCharType="begin"/>
            </w:r>
            <w:r w:rsidRPr="00CF2354">
              <w:rPr>
                <w:bCs/>
                <w:sz w:val="10"/>
                <w:szCs w:val="10"/>
              </w:rPr>
              <w:instrText>PAGE</w:instrText>
            </w:r>
            <w:r w:rsidRPr="00CF2354">
              <w:rPr>
                <w:b w:val="0"/>
                <w:bCs/>
                <w:sz w:val="14"/>
                <w:szCs w:val="14"/>
              </w:rPr>
              <w:fldChar w:fldCharType="separate"/>
            </w:r>
            <w:r>
              <w:rPr>
                <w:b w:val="0"/>
                <w:bCs/>
                <w:sz w:val="14"/>
                <w:szCs w:val="14"/>
              </w:rPr>
              <w:t>2</w:t>
            </w:r>
            <w:r w:rsidRPr="00CF2354">
              <w:rPr>
                <w:b w:val="0"/>
                <w:bCs/>
                <w:sz w:val="14"/>
                <w:szCs w:val="14"/>
              </w:rPr>
              <w:fldChar w:fldCharType="end"/>
            </w:r>
            <w:r w:rsidRPr="00CF2354">
              <w:rPr>
                <w:sz w:val="10"/>
                <w:szCs w:val="10"/>
              </w:rPr>
              <w:t xml:space="preserve"> de </w:t>
            </w:r>
            <w:r w:rsidRPr="00CF2354">
              <w:rPr>
                <w:b w:val="0"/>
                <w:bCs/>
                <w:sz w:val="14"/>
                <w:szCs w:val="14"/>
              </w:rPr>
              <w:fldChar w:fldCharType="begin"/>
            </w:r>
            <w:r w:rsidRPr="00CF2354">
              <w:rPr>
                <w:bCs/>
                <w:sz w:val="10"/>
                <w:szCs w:val="10"/>
              </w:rPr>
              <w:instrText>NUMPAGES</w:instrText>
            </w:r>
            <w:r w:rsidRPr="00CF2354">
              <w:rPr>
                <w:b w:val="0"/>
                <w:bCs/>
                <w:sz w:val="14"/>
                <w:szCs w:val="14"/>
              </w:rPr>
              <w:fldChar w:fldCharType="separate"/>
            </w:r>
            <w:r>
              <w:rPr>
                <w:b w:val="0"/>
                <w:bCs/>
                <w:sz w:val="14"/>
                <w:szCs w:val="14"/>
              </w:rPr>
              <w:t>8</w:t>
            </w:r>
            <w:r w:rsidRPr="00CF2354">
              <w:rPr>
                <w:b w:val="0"/>
                <w:bCs/>
                <w:sz w:val="14"/>
                <w:szCs w:val="14"/>
              </w:rPr>
              <w:fldChar w:fldCharType="end"/>
            </w:r>
          </w:p>
        </w:sdtContent>
      </w:sdt>
    </w:sdtContent>
  </w:sdt>
  <w:p w14:paraId="108820A1" w14:textId="77777777" w:rsidR="007C2DF6" w:rsidRDefault="007C2DF6">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0"/>
        <w:szCs w:val="10"/>
      </w:rPr>
      <w:id w:val="-19634326"/>
      <w:docPartObj>
        <w:docPartGallery w:val="Page Numbers (Bottom of Page)"/>
        <w:docPartUnique/>
      </w:docPartObj>
    </w:sdtPr>
    <w:sdtContent>
      <w:sdt>
        <w:sdtPr>
          <w:rPr>
            <w:sz w:val="10"/>
            <w:szCs w:val="10"/>
          </w:rPr>
          <w:id w:val="-1769616900"/>
          <w:docPartObj>
            <w:docPartGallery w:val="Page Numbers (Top of Page)"/>
            <w:docPartUnique/>
          </w:docPartObj>
        </w:sdtPr>
        <w:sdtContent>
          <w:p w14:paraId="39A9E420" w14:textId="0EF6E38E" w:rsidR="00CF2354" w:rsidRPr="00CF2354" w:rsidRDefault="00CF2354" w:rsidP="00786DC2">
            <w:pPr>
              <w:pStyle w:val="Rodap"/>
              <w:tabs>
                <w:tab w:val="clear" w:pos="8504"/>
              </w:tabs>
              <w:ind w:right="-1419"/>
              <w:jc w:val="right"/>
              <w:rPr>
                <w:sz w:val="10"/>
                <w:szCs w:val="10"/>
              </w:rPr>
            </w:pPr>
            <w:r w:rsidRPr="00CF2354">
              <w:rPr>
                <w:sz w:val="10"/>
                <w:szCs w:val="10"/>
              </w:rPr>
              <w:t xml:space="preserve">Página </w:t>
            </w:r>
            <w:r w:rsidRPr="00CF2354">
              <w:rPr>
                <w:b w:val="0"/>
                <w:bCs/>
                <w:sz w:val="14"/>
                <w:szCs w:val="14"/>
              </w:rPr>
              <w:fldChar w:fldCharType="begin"/>
            </w:r>
            <w:r w:rsidRPr="00CF2354">
              <w:rPr>
                <w:bCs/>
                <w:sz w:val="10"/>
                <w:szCs w:val="10"/>
              </w:rPr>
              <w:instrText>PAGE</w:instrText>
            </w:r>
            <w:r w:rsidRPr="00CF2354">
              <w:rPr>
                <w:b w:val="0"/>
                <w:bCs/>
                <w:sz w:val="14"/>
                <w:szCs w:val="14"/>
              </w:rPr>
              <w:fldChar w:fldCharType="separate"/>
            </w:r>
            <w:r w:rsidRPr="00CF2354">
              <w:rPr>
                <w:bCs/>
                <w:sz w:val="10"/>
                <w:szCs w:val="10"/>
              </w:rPr>
              <w:t>2</w:t>
            </w:r>
            <w:r w:rsidRPr="00CF2354">
              <w:rPr>
                <w:b w:val="0"/>
                <w:bCs/>
                <w:sz w:val="14"/>
                <w:szCs w:val="14"/>
              </w:rPr>
              <w:fldChar w:fldCharType="end"/>
            </w:r>
            <w:r w:rsidRPr="00CF2354">
              <w:rPr>
                <w:sz w:val="10"/>
                <w:szCs w:val="10"/>
              </w:rPr>
              <w:t xml:space="preserve"> de </w:t>
            </w:r>
            <w:r w:rsidRPr="00CF2354">
              <w:rPr>
                <w:b w:val="0"/>
                <w:bCs/>
                <w:sz w:val="14"/>
                <w:szCs w:val="14"/>
              </w:rPr>
              <w:fldChar w:fldCharType="begin"/>
            </w:r>
            <w:r w:rsidRPr="00CF2354">
              <w:rPr>
                <w:bCs/>
                <w:sz w:val="10"/>
                <w:szCs w:val="10"/>
              </w:rPr>
              <w:instrText>NUMPAGES</w:instrText>
            </w:r>
            <w:r w:rsidRPr="00CF2354">
              <w:rPr>
                <w:b w:val="0"/>
                <w:bCs/>
                <w:sz w:val="14"/>
                <w:szCs w:val="14"/>
              </w:rPr>
              <w:fldChar w:fldCharType="separate"/>
            </w:r>
            <w:r w:rsidRPr="00CF2354">
              <w:rPr>
                <w:bCs/>
                <w:sz w:val="10"/>
                <w:szCs w:val="10"/>
              </w:rPr>
              <w:t>2</w:t>
            </w:r>
            <w:r w:rsidRPr="00CF2354">
              <w:rPr>
                <w:b w:val="0"/>
                <w:bCs/>
                <w:sz w:val="14"/>
                <w:szCs w:val="14"/>
              </w:rPr>
              <w:fldChar w:fldCharType="end"/>
            </w:r>
          </w:p>
        </w:sdtContent>
      </w:sdt>
    </w:sdtContent>
  </w:sdt>
  <w:p w14:paraId="60E1700C" w14:textId="77777777" w:rsidR="00CF2354" w:rsidRDefault="00CF235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419D04" w14:textId="77777777" w:rsidR="00760561" w:rsidRDefault="00760561" w:rsidP="00773388">
      <w:r>
        <w:separator/>
      </w:r>
    </w:p>
  </w:footnote>
  <w:footnote w:type="continuationSeparator" w:id="0">
    <w:p w14:paraId="5FD25D6F" w14:textId="77777777" w:rsidR="00760561" w:rsidRDefault="00760561" w:rsidP="00773388">
      <w:r>
        <w:continuationSeparator/>
      </w:r>
    </w:p>
  </w:footnote>
  <w:footnote w:id="1">
    <w:p w14:paraId="3C99AA36" w14:textId="78AD1E1A" w:rsidR="00724DCB" w:rsidRPr="0097713C" w:rsidRDefault="00724DCB">
      <w:pPr>
        <w:pStyle w:val="Textodenotaderodap"/>
        <w:rPr>
          <w:b w:val="0"/>
          <w:bCs/>
          <w:color w:val="auto"/>
          <w:sz w:val="12"/>
          <w:szCs w:val="12"/>
        </w:rPr>
      </w:pPr>
      <w:r w:rsidRPr="0097713C">
        <w:rPr>
          <w:rStyle w:val="Refdenotaderodap"/>
          <w:b w:val="0"/>
          <w:bCs/>
          <w:color w:val="auto"/>
          <w:sz w:val="12"/>
          <w:szCs w:val="12"/>
        </w:rPr>
        <w:footnoteRef/>
      </w:r>
      <w:r w:rsidRPr="0097713C">
        <w:rPr>
          <w:b w:val="0"/>
          <w:bCs/>
          <w:color w:val="auto"/>
          <w:sz w:val="12"/>
          <w:szCs w:val="12"/>
        </w:rPr>
        <w:t xml:space="preserve">   </w:t>
      </w:r>
      <w:hyperlink r:id="rId1" w:tgtFrame="_blank" w:history="1">
        <w:r w:rsidRPr="0097713C">
          <w:rPr>
            <w:rStyle w:val="Hyperlink"/>
            <w:b w:val="0"/>
            <w:bCs/>
            <w:color w:val="auto"/>
            <w:sz w:val="12"/>
            <w:szCs w:val="12"/>
          </w:rPr>
          <w:t>https://iiscientific.com/artigos/0d93ca/</w:t>
        </w:r>
      </w:hyperlink>
    </w:p>
  </w:footnote>
  <w:footnote w:id="2">
    <w:p w14:paraId="0FF55AC9" w14:textId="75A01115" w:rsidR="00724DCB" w:rsidRPr="0097713C" w:rsidRDefault="00724DCB">
      <w:pPr>
        <w:pStyle w:val="Textodenotaderodap"/>
        <w:rPr>
          <w:b w:val="0"/>
          <w:bCs/>
          <w:color w:val="auto"/>
          <w:sz w:val="12"/>
          <w:szCs w:val="12"/>
        </w:rPr>
      </w:pPr>
      <w:r w:rsidRPr="0097713C">
        <w:rPr>
          <w:rStyle w:val="Refdenotaderodap"/>
          <w:b w:val="0"/>
          <w:bCs/>
          <w:color w:val="auto"/>
          <w:sz w:val="12"/>
          <w:szCs w:val="12"/>
        </w:rPr>
        <w:footnoteRef/>
      </w:r>
      <w:r w:rsidRPr="0097713C">
        <w:rPr>
          <w:b w:val="0"/>
          <w:bCs/>
          <w:color w:val="auto"/>
          <w:sz w:val="12"/>
          <w:szCs w:val="12"/>
        </w:rPr>
        <w:t xml:space="preserve"> </w:t>
      </w:r>
      <w:hyperlink r:id="rId2" w:history="1">
        <w:r w:rsidRPr="0097713C">
          <w:rPr>
            <w:rStyle w:val="Hyperlink"/>
            <w:b w:val="0"/>
            <w:bCs/>
            <w:color w:val="auto"/>
            <w:sz w:val="12"/>
            <w:szCs w:val="12"/>
          </w:rPr>
          <w:t>https://www.gov.br/previdencia/pt-br/assuntos/previdencia-social/saude-e-seguranca-do-trabalhador/acidente_trabalho_incapacidade/AcompanhamentoMensal_AuxilioDoencaPrevidenciario_2020_completo_CID10.pdf</w:t>
        </w:r>
      </w:hyperlink>
    </w:p>
  </w:footnote>
  <w:footnote w:id="3">
    <w:p w14:paraId="44BF77A5" w14:textId="7026AF9F" w:rsidR="00724DCB" w:rsidRPr="0097713C" w:rsidRDefault="00724DCB">
      <w:pPr>
        <w:pStyle w:val="Textodenotaderodap"/>
        <w:rPr>
          <w:b w:val="0"/>
          <w:bCs/>
          <w:color w:val="auto"/>
          <w:sz w:val="12"/>
          <w:szCs w:val="12"/>
        </w:rPr>
      </w:pPr>
      <w:r w:rsidRPr="0097713C">
        <w:rPr>
          <w:rStyle w:val="Refdenotaderodap"/>
          <w:b w:val="0"/>
          <w:bCs/>
          <w:color w:val="auto"/>
          <w:sz w:val="12"/>
          <w:szCs w:val="12"/>
        </w:rPr>
        <w:footnoteRef/>
      </w:r>
      <w:r w:rsidRPr="0097713C">
        <w:rPr>
          <w:b w:val="0"/>
          <w:bCs/>
          <w:color w:val="auto"/>
          <w:sz w:val="12"/>
          <w:szCs w:val="12"/>
        </w:rPr>
        <w:t xml:space="preserve"> </w:t>
      </w:r>
      <w:hyperlink r:id="rId3" w:history="1">
        <w:r w:rsidRPr="0097713C">
          <w:rPr>
            <w:rStyle w:val="Hyperlink"/>
            <w:b w:val="0"/>
            <w:bCs/>
            <w:color w:val="auto"/>
            <w:sz w:val="12"/>
            <w:szCs w:val="12"/>
          </w:rPr>
          <w:t>https://mpmt.mp.br/portalcao/news/733/142655/direitos-das-pessoas-com-tea-tdah-e-tod/3</w:t>
        </w:r>
      </w:hyperlink>
    </w:p>
  </w:footnote>
  <w:footnote w:id="4">
    <w:p w14:paraId="43944D36" w14:textId="7DB1BC10" w:rsidR="00724DCB" w:rsidRPr="0097713C" w:rsidRDefault="00724DCB">
      <w:pPr>
        <w:pStyle w:val="Textodenotaderodap"/>
        <w:rPr>
          <w:b w:val="0"/>
          <w:bCs/>
          <w:color w:val="auto"/>
          <w:sz w:val="12"/>
          <w:szCs w:val="12"/>
        </w:rPr>
      </w:pPr>
      <w:r w:rsidRPr="0097713C">
        <w:rPr>
          <w:rStyle w:val="Refdenotaderodap"/>
          <w:b w:val="0"/>
          <w:bCs/>
          <w:color w:val="auto"/>
          <w:sz w:val="12"/>
          <w:szCs w:val="12"/>
        </w:rPr>
        <w:footnoteRef/>
      </w:r>
      <w:r w:rsidRPr="0097713C">
        <w:rPr>
          <w:b w:val="0"/>
          <w:bCs/>
          <w:color w:val="auto"/>
          <w:sz w:val="12"/>
          <w:szCs w:val="12"/>
        </w:rPr>
        <w:t xml:space="preserve">  </w:t>
      </w:r>
      <w:hyperlink r:id="rId4" w:history="1">
        <w:r w:rsidRPr="0097713C">
          <w:rPr>
            <w:rStyle w:val="Hyperlink"/>
            <w:b w:val="0"/>
            <w:bCs/>
            <w:color w:val="auto"/>
            <w:sz w:val="12"/>
            <w:szCs w:val="12"/>
          </w:rPr>
          <w:t>https://membros.analysispsicologia.com.br/wp-content/uploads/2024/06/DSM-V.pdf</w:t>
        </w:r>
      </w:hyperlink>
    </w:p>
  </w:footnote>
  <w:footnote w:id="5">
    <w:p w14:paraId="12B0F059" w14:textId="77FA22C0" w:rsidR="00724DCB" w:rsidRPr="0097713C" w:rsidRDefault="00724DCB">
      <w:pPr>
        <w:pStyle w:val="Textodenotaderodap"/>
        <w:rPr>
          <w:b w:val="0"/>
          <w:bCs/>
          <w:color w:val="auto"/>
          <w:sz w:val="12"/>
          <w:szCs w:val="12"/>
        </w:rPr>
      </w:pPr>
      <w:r w:rsidRPr="0097713C">
        <w:rPr>
          <w:rStyle w:val="Refdenotaderodap"/>
          <w:b w:val="0"/>
          <w:bCs/>
          <w:color w:val="auto"/>
          <w:sz w:val="12"/>
          <w:szCs w:val="12"/>
        </w:rPr>
        <w:footnoteRef/>
      </w:r>
      <w:r w:rsidRPr="0097713C">
        <w:rPr>
          <w:b w:val="0"/>
          <w:bCs/>
          <w:color w:val="auto"/>
          <w:sz w:val="12"/>
          <w:szCs w:val="12"/>
        </w:rPr>
        <w:t xml:space="preserve"> </w:t>
      </w:r>
      <w:hyperlink r:id="rId5" w:tgtFrame="_blank" w:history="1">
        <w:r w:rsidRPr="0097713C">
          <w:rPr>
            <w:rStyle w:val="Hyperlink"/>
            <w:b w:val="0"/>
            <w:bCs/>
            <w:color w:val="auto"/>
            <w:sz w:val="12"/>
            <w:szCs w:val="12"/>
          </w:rPr>
          <w:t>https://fabianalisboa.com.br/wp-content/uploads/2022/01/cid-11.pdf</w:t>
        </w:r>
      </w:hyperlink>
    </w:p>
    <w:p w14:paraId="6A933485" w14:textId="77777777" w:rsidR="00724DCB" w:rsidRDefault="00724DCB">
      <w:pPr>
        <w:pStyle w:val="Textodenotaderodap"/>
      </w:pPr>
    </w:p>
  </w:footnote>
  <w:footnote w:id="6">
    <w:p w14:paraId="34503D8F" w14:textId="5533F8D5" w:rsidR="00761111" w:rsidRPr="00511FB4" w:rsidRDefault="00761111">
      <w:pPr>
        <w:pStyle w:val="Textodenotaderodap"/>
        <w:rPr>
          <w:b w:val="0"/>
          <w:bCs/>
          <w:color w:val="auto"/>
          <w:sz w:val="12"/>
          <w:szCs w:val="12"/>
        </w:rPr>
      </w:pPr>
      <w:r w:rsidRPr="00511FB4">
        <w:rPr>
          <w:rStyle w:val="Refdenotaderodap"/>
          <w:b w:val="0"/>
          <w:bCs/>
          <w:color w:val="auto"/>
          <w:sz w:val="12"/>
          <w:szCs w:val="12"/>
        </w:rPr>
        <w:footnoteRef/>
      </w:r>
      <w:r w:rsidRPr="00511FB4">
        <w:rPr>
          <w:b w:val="0"/>
          <w:bCs/>
          <w:color w:val="auto"/>
          <w:sz w:val="12"/>
          <w:szCs w:val="12"/>
        </w:rPr>
        <w:t xml:space="preserve"> </w:t>
      </w:r>
      <w:hyperlink r:id="rId6" w:tgtFrame="_blank" w:history="1">
        <w:r w:rsidRPr="00511FB4">
          <w:rPr>
            <w:rStyle w:val="Hyperlink"/>
            <w:b w:val="0"/>
            <w:bCs/>
            <w:color w:val="auto"/>
            <w:sz w:val="12"/>
            <w:szCs w:val="12"/>
          </w:rPr>
          <w:t>https://www.camara.leg.br/radio/programas/painel-eletronico/1199992-deputado-alex-manente-dificuldades-trazidas-pelo-tdah-justificam-equiparacao-do-transtorno-a-deficiencia/</w:t>
        </w:r>
      </w:hyperlink>
    </w:p>
  </w:footnote>
  <w:footnote w:id="7">
    <w:p w14:paraId="49501FFF" w14:textId="5DB2C355" w:rsidR="00F42C03" w:rsidRPr="00511FB4" w:rsidRDefault="00F42C03">
      <w:pPr>
        <w:pStyle w:val="Textodenotaderodap"/>
        <w:rPr>
          <w:b w:val="0"/>
          <w:bCs/>
          <w:color w:val="auto"/>
          <w:sz w:val="12"/>
          <w:szCs w:val="12"/>
        </w:rPr>
      </w:pPr>
      <w:r w:rsidRPr="00511FB4">
        <w:rPr>
          <w:rStyle w:val="Refdenotaderodap"/>
          <w:b w:val="0"/>
          <w:bCs/>
          <w:color w:val="auto"/>
          <w:sz w:val="12"/>
          <w:szCs w:val="12"/>
        </w:rPr>
        <w:footnoteRef/>
      </w:r>
      <w:r w:rsidRPr="00511FB4">
        <w:rPr>
          <w:b w:val="0"/>
          <w:bCs/>
          <w:color w:val="auto"/>
          <w:sz w:val="12"/>
          <w:szCs w:val="12"/>
        </w:rPr>
        <w:t xml:space="preserve"> </w:t>
      </w:r>
      <w:hyperlink r:id="rId7" w:tgtFrame="_blank" w:history="1">
        <w:r w:rsidRPr="00511FB4">
          <w:rPr>
            <w:rStyle w:val="Hyperlink"/>
            <w:b w:val="0"/>
            <w:bCs/>
            <w:color w:val="auto"/>
            <w:sz w:val="12"/>
            <w:szCs w:val="12"/>
          </w:rPr>
          <w:t>https://mpmt.mp.br/portalcao/news/1013/109209/projeto-equipara-transtorno-do-deficit-de-atencao-a-deficiencia-para-efeitos-legais/822</w:t>
        </w:r>
      </w:hyperlink>
    </w:p>
  </w:footnote>
  <w:footnote w:id="8">
    <w:p w14:paraId="6CA2B425" w14:textId="37D42D2B" w:rsidR="00701942" w:rsidRPr="00511FB4" w:rsidRDefault="00701942">
      <w:pPr>
        <w:pStyle w:val="Textodenotaderodap"/>
        <w:rPr>
          <w:b w:val="0"/>
          <w:bCs/>
          <w:color w:val="auto"/>
          <w:sz w:val="12"/>
          <w:szCs w:val="12"/>
        </w:rPr>
      </w:pPr>
      <w:r w:rsidRPr="00511FB4">
        <w:rPr>
          <w:rStyle w:val="Refdenotaderodap"/>
          <w:b w:val="0"/>
          <w:bCs/>
          <w:color w:val="auto"/>
          <w:sz w:val="12"/>
          <w:szCs w:val="12"/>
        </w:rPr>
        <w:footnoteRef/>
      </w:r>
      <w:r w:rsidRPr="00511FB4">
        <w:rPr>
          <w:b w:val="0"/>
          <w:bCs/>
          <w:color w:val="auto"/>
          <w:sz w:val="12"/>
          <w:szCs w:val="12"/>
        </w:rPr>
        <w:t xml:space="preserve"> </w:t>
      </w:r>
      <w:hyperlink r:id="rId8" w:anchor="page=50" w:history="1">
        <w:r w:rsidRPr="00511FB4">
          <w:rPr>
            <w:rStyle w:val="Hyperlink"/>
            <w:b w:val="0"/>
            <w:bCs/>
            <w:color w:val="auto"/>
            <w:sz w:val="12"/>
            <w:szCs w:val="12"/>
          </w:rPr>
          <w:t>https://diariolegislativo.almg.gov.br/2023/L20230811.pdf#page=50</w:t>
        </w:r>
      </w:hyperlink>
    </w:p>
  </w:footnote>
  <w:footnote w:id="9">
    <w:p w14:paraId="423E3DD2" w14:textId="29AF06E0" w:rsidR="00153312" w:rsidRPr="00511FB4" w:rsidRDefault="00153312">
      <w:pPr>
        <w:pStyle w:val="Textodenotaderodap"/>
        <w:rPr>
          <w:b w:val="0"/>
          <w:bCs/>
          <w:color w:val="auto"/>
          <w:sz w:val="12"/>
          <w:szCs w:val="12"/>
        </w:rPr>
      </w:pPr>
      <w:r w:rsidRPr="00511FB4">
        <w:rPr>
          <w:rStyle w:val="Refdenotaderodap"/>
          <w:b w:val="0"/>
          <w:bCs/>
          <w:color w:val="auto"/>
          <w:sz w:val="12"/>
          <w:szCs w:val="12"/>
        </w:rPr>
        <w:footnoteRef/>
      </w:r>
      <w:r w:rsidRPr="00511FB4">
        <w:rPr>
          <w:b w:val="0"/>
          <w:bCs/>
          <w:color w:val="auto"/>
          <w:sz w:val="12"/>
          <w:szCs w:val="12"/>
        </w:rPr>
        <w:t xml:space="preserve"> </w:t>
      </w:r>
      <w:hyperlink r:id="rId9" w:history="1">
        <w:r w:rsidRPr="00511FB4">
          <w:rPr>
            <w:rStyle w:val="Hyperlink"/>
            <w:b w:val="0"/>
            <w:bCs/>
            <w:color w:val="auto"/>
            <w:sz w:val="12"/>
            <w:szCs w:val="12"/>
          </w:rPr>
          <w:t>https://leismunicipais.com.br/a/sp/m/maua/lei-ordinaria/2023/608/6076/lei-ordinaria-n-6076-2023-institui-a-politica-municipal-de-protecao-e-atencao-aos-direitos-da-pessoa-com-transtorno-do-deficit-de-atencao-com-hiperatividade-tdah-no-ambito-do-municipio-de-maua-e-da-outras-providencias</w:t>
        </w:r>
      </w:hyperlink>
    </w:p>
  </w:footnote>
  <w:footnote w:id="10">
    <w:p w14:paraId="22EF239E" w14:textId="3D727211" w:rsidR="00212382" w:rsidRPr="00511FB4" w:rsidRDefault="003010AD">
      <w:pPr>
        <w:pStyle w:val="Textodenotaderodap"/>
        <w:rPr>
          <w:b w:val="0"/>
          <w:bCs/>
          <w:color w:val="auto"/>
          <w:sz w:val="12"/>
          <w:szCs w:val="12"/>
        </w:rPr>
      </w:pPr>
      <w:r w:rsidRPr="00511FB4">
        <w:rPr>
          <w:rStyle w:val="Refdenotaderodap"/>
          <w:b w:val="0"/>
          <w:bCs/>
          <w:color w:val="auto"/>
          <w:sz w:val="12"/>
          <w:szCs w:val="12"/>
        </w:rPr>
        <w:footnoteRef/>
      </w:r>
      <w:r w:rsidRPr="00511FB4">
        <w:rPr>
          <w:b w:val="0"/>
          <w:bCs/>
          <w:color w:val="auto"/>
          <w:sz w:val="12"/>
          <w:szCs w:val="12"/>
        </w:rPr>
        <w:t xml:space="preserve"> </w:t>
      </w:r>
      <w:hyperlink r:id="rId10" w:history="1">
        <w:r w:rsidRPr="00511FB4">
          <w:rPr>
            <w:rStyle w:val="Hyperlink"/>
            <w:b w:val="0"/>
            <w:bCs/>
            <w:color w:val="auto"/>
            <w:sz w:val="12"/>
            <w:szCs w:val="12"/>
          </w:rPr>
          <w:t>https://sapl.santarita.pb.leg.br/media/sapl/public/materialegislativa/2024/970/protocolo_1459.2024_projeto_de_lei_94.2024_ver._nininho_do_bode.pdf</w:t>
        </w:r>
      </w:hyperlink>
    </w:p>
  </w:footnote>
  <w:footnote w:id="11">
    <w:p w14:paraId="2E9D1F24" w14:textId="76903352" w:rsidR="00212382" w:rsidRPr="00511FB4" w:rsidRDefault="00212382" w:rsidP="00212382">
      <w:pPr>
        <w:pStyle w:val="Textodenotaderodap"/>
        <w:rPr>
          <w:b w:val="0"/>
          <w:bCs/>
          <w:color w:val="auto"/>
          <w:sz w:val="12"/>
          <w:szCs w:val="12"/>
        </w:rPr>
      </w:pPr>
      <w:r w:rsidRPr="00511FB4">
        <w:rPr>
          <w:rStyle w:val="Refdenotaderodap"/>
          <w:b w:val="0"/>
          <w:bCs/>
          <w:color w:val="auto"/>
          <w:sz w:val="12"/>
          <w:szCs w:val="12"/>
        </w:rPr>
        <w:footnoteRef/>
      </w:r>
      <w:r w:rsidRPr="00511FB4">
        <w:rPr>
          <w:b w:val="0"/>
          <w:bCs/>
          <w:color w:val="auto"/>
          <w:sz w:val="12"/>
          <w:szCs w:val="12"/>
        </w:rPr>
        <w:t xml:space="preserve"> </w:t>
      </w:r>
      <w:hyperlink r:id="rId11" w:history="1">
        <w:r w:rsidRPr="00511FB4">
          <w:rPr>
            <w:rStyle w:val="Hyperlink"/>
            <w:b w:val="0"/>
            <w:bCs/>
            <w:color w:val="auto"/>
            <w:sz w:val="12"/>
            <w:szCs w:val="12"/>
          </w:rPr>
          <w:t>https://www.camara.leg.br/proposicoesWeb/fichadetramitacao?idProposicao=2291884</w:t>
        </w:r>
      </w:hyperlink>
    </w:p>
  </w:footnote>
  <w:footnote w:id="12">
    <w:p w14:paraId="62468D56" w14:textId="58B13772" w:rsidR="008F68C8" w:rsidRPr="00511FB4" w:rsidRDefault="008F68C8">
      <w:pPr>
        <w:pStyle w:val="Textodenotaderodap"/>
        <w:rPr>
          <w:color w:val="auto"/>
        </w:rPr>
      </w:pPr>
      <w:r w:rsidRPr="00511FB4">
        <w:rPr>
          <w:rStyle w:val="Refdenotaderodap"/>
          <w:b w:val="0"/>
          <w:bCs/>
          <w:color w:val="auto"/>
          <w:sz w:val="12"/>
          <w:szCs w:val="12"/>
        </w:rPr>
        <w:footnoteRef/>
      </w:r>
      <w:r w:rsidRPr="00511FB4">
        <w:rPr>
          <w:b w:val="0"/>
          <w:bCs/>
          <w:color w:val="auto"/>
          <w:sz w:val="12"/>
          <w:szCs w:val="12"/>
        </w:rPr>
        <w:t xml:space="preserve"> </w:t>
      </w:r>
      <w:hyperlink r:id="rId12" w:history="1">
        <w:r w:rsidR="000370D0" w:rsidRPr="00511FB4">
          <w:rPr>
            <w:rStyle w:val="Hyperlink"/>
            <w:b w:val="0"/>
            <w:bCs/>
            <w:color w:val="auto"/>
            <w:sz w:val="12"/>
            <w:szCs w:val="12"/>
          </w:rPr>
          <w:t>https://www.jusbrasil.com.br/topicos/10637721/artigo-30-da-constituicao-federal-de-1988</w:t>
        </w:r>
      </w:hyperlink>
    </w:p>
    <w:p w14:paraId="520BE675" w14:textId="77777777" w:rsidR="000370D0" w:rsidRDefault="000370D0">
      <w:pPr>
        <w:pStyle w:val="Textodenotaderodap"/>
      </w:pPr>
    </w:p>
  </w:footnote>
  <w:footnote w:id="13">
    <w:p w14:paraId="0144DBF0" w14:textId="725CCA57" w:rsidR="0062484B" w:rsidRPr="00511FB4" w:rsidRDefault="0062484B">
      <w:pPr>
        <w:pStyle w:val="Textodenotaderodap"/>
        <w:rPr>
          <w:b w:val="0"/>
          <w:bCs/>
          <w:color w:val="auto"/>
          <w:sz w:val="12"/>
          <w:szCs w:val="12"/>
        </w:rPr>
      </w:pPr>
      <w:r w:rsidRPr="00511FB4">
        <w:rPr>
          <w:rStyle w:val="Refdenotaderodap"/>
          <w:b w:val="0"/>
          <w:bCs/>
          <w:color w:val="auto"/>
          <w:sz w:val="12"/>
          <w:szCs w:val="12"/>
        </w:rPr>
        <w:footnoteRef/>
      </w:r>
      <w:r w:rsidRPr="00511FB4">
        <w:rPr>
          <w:b w:val="0"/>
          <w:bCs/>
          <w:color w:val="auto"/>
          <w:sz w:val="12"/>
          <w:szCs w:val="12"/>
        </w:rPr>
        <w:t xml:space="preserve"> </w:t>
      </w:r>
      <w:hyperlink r:id="rId13" w:history="1">
        <w:r w:rsidRPr="00511FB4">
          <w:rPr>
            <w:rStyle w:val="Hyperlink"/>
            <w:b w:val="0"/>
            <w:bCs/>
            <w:color w:val="auto"/>
            <w:sz w:val="12"/>
            <w:szCs w:val="12"/>
          </w:rPr>
          <w:t>https://www.planalto.gov.br/ccivil_03/_ato2023-2026/2023/lei/l14624.htm</w:t>
        </w:r>
      </w:hyperlink>
    </w:p>
  </w:footnote>
  <w:footnote w:id="14">
    <w:p w14:paraId="0084FD82" w14:textId="417D577E" w:rsidR="0062484B" w:rsidRPr="0062484B" w:rsidRDefault="0062484B">
      <w:pPr>
        <w:pStyle w:val="Textodenotaderodap"/>
        <w:rPr>
          <w:b w:val="0"/>
          <w:bCs/>
          <w:sz w:val="12"/>
          <w:szCs w:val="12"/>
        </w:rPr>
      </w:pPr>
      <w:r w:rsidRPr="00511FB4">
        <w:rPr>
          <w:rStyle w:val="Refdenotaderodap"/>
          <w:b w:val="0"/>
          <w:bCs/>
          <w:color w:val="auto"/>
          <w:sz w:val="12"/>
          <w:szCs w:val="12"/>
        </w:rPr>
        <w:footnoteRef/>
      </w:r>
      <w:r w:rsidRPr="00511FB4">
        <w:rPr>
          <w:b w:val="0"/>
          <w:bCs/>
          <w:color w:val="auto"/>
          <w:sz w:val="12"/>
          <w:szCs w:val="12"/>
        </w:rPr>
        <w:t xml:space="preserve">  </w:t>
      </w:r>
      <w:hyperlink r:id="rId14" w:tgtFrame="_blank" w:history="1">
        <w:r w:rsidRPr="00511FB4">
          <w:rPr>
            <w:rStyle w:val="Hyperlink"/>
            <w:b w:val="0"/>
            <w:bCs/>
            <w:color w:val="auto"/>
            <w:sz w:val="12"/>
            <w:szCs w:val="12"/>
          </w:rPr>
          <w:t>https://dogtagclan.com.br/blog/tdah-da-direito-a-fila-preferencial-descubra-o-que-diz-a-lei-e-como-o-cracha-pode-ajudar/</w:t>
        </w:r>
      </w:hyperlink>
    </w:p>
    <w:p w14:paraId="321771B0" w14:textId="77777777" w:rsidR="0062484B" w:rsidRDefault="0062484B">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A2FEB" w14:textId="1B531FF5" w:rsidR="00773388" w:rsidRDefault="00B54D2B">
    <w:pPr>
      <w:pStyle w:val="Cabealho"/>
    </w:pPr>
    <w:r>
      <w:rPr>
        <w:noProof/>
      </w:rPr>
      <w:drawing>
        <wp:anchor distT="0" distB="0" distL="114300" distR="114300" simplePos="0" relativeHeight="251665920" behindDoc="1" locked="0" layoutInCell="1" allowOverlap="1" wp14:anchorId="5EFDCBF9" wp14:editId="0E8A60A3">
          <wp:simplePos x="0" y="0"/>
          <wp:positionH relativeFrom="column">
            <wp:posOffset>-1107440</wp:posOffset>
          </wp:positionH>
          <wp:positionV relativeFrom="paragraph">
            <wp:posOffset>-474287</wp:posOffset>
          </wp:positionV>
          <wp:extent cx="7605944" cy="10756900"/>
          <wp:effectExtent l="0" t="0" r="0" b="6350"/>
          <wp:wrapNone/>
          <wp:docPr id="1537232242" name="Imagem 4" descr="Tela de celular com texto preto sobre fundo bran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813316" name="Imagem 4" descr="Tela de celular com texto preto sobre fundo branc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605944" cy="107569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E067C" w14:textId="49E8DE5B" w:rsidR="00B54D2B" w:rsidRDefault="00B54D2B">
    <w:pPr>
      <w:pStyle w:val="Cabealho"/>
    </w:pPr>
    <w:r>
      <w:rPr>
        <w:noProof/>
      </w:rPr>
      <w:drawing>
        <wp:anchor distT="0" distB="0" distL="114300" distR="114300" simplePos="0" relativeHeight="251657728" behindDoc="1" locked="0" layoutInCell="1" allowOverlap="1" wp14:anchorId="05A72AB2" wp14:editId="72DD0B94">
          <wp:simplePos x="0" y="0"/>
          <wp:positionH relativeFrom="column">
            <wp:posOffset>-1105535</wp:posOffset>
          </wp:positionH>
          <wp:positionV relativeFrom="paragraph">
            <wp:posOffset>-438150</wp:posOffset>
          </wp:positionV>
          <wp:extent cx="7594600" cy="10740857"/>
          <wp:effectExtent l="0" t="0" r="6350" b="3810"/>
          <wp:wrapNone/>
          <wp:docPr id="898671041" name="Imagem 3" descr="Tela de computador com texto preto sobre fundo bran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759635" name="Imagem 3" descr="Tela de computador com texto preto sobre fundo branc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600812" cy="10749642"/>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388"/>
    <w:rsid w:val="00000F63"/>
    <w:rsid w:val="00013AC1"/>
    <w:rsid w:val="000221E4"/>
    <w:rsid w:val="000279EB"/>
    <w:rsid w:val="000370D0"/>
    <w:rsid w:val="000569E9"/>
    <w:rsid w:val="000F7489"/>
    <w:rsid w:val="00153312"/>
    <w:rsid w:val="001642BB"/>
    <w:rsid w:val="001D1D11"/>
    <w:rsid w:val="001F0D94"/>
    <w:rsid w:val="00212382"/>
    <w:rsid w:val="002C1E04"/>
    <w:rsid w:val="002D028E"/>
    <w:rsid w:val="002F6CBA"/>
    <w:rsid w:val="003010AD"/>
    <w:rsid w:val="0031008C"/>
    <w:rsid w:val="00383013"/>
    <w:rsid w:val="00385619"/>
    <w:rsid w:val="003900EC"/>
    <w:rsid w:val="003E5FC8"/>
    <w:rsid w:val="003F3E0F"/>
    <w:rsid w:val="00401A6D"/>
    <w:rsid w:val="00452A06"/>
    <w:rsid w:val="004642B4"/>
    <w:rsid w:val="00471EA9"/>
    <w:rsid w:val="00491682"/>
    <w:rsid w:val="004B6F0D"/>
    <w:rsid w:val="00511FB4"/>
    <w:rsid w:val="005276BB"/>
    <w:rsid w:val="00560F6D"/>
    <w:rsid w:val="00566C0A"/>
    <w:rsid w:val="0057720C"/>
    <w:rsid w:val="005831FB"/>
    <w:rsid w:val="00596AE3"/>
    <w:rsid w:val="0062484B"/>
    <w:rsid w:val="00642C0E"/>
    <w:rsid w:val="006D1021"/>
    <w:rsid w:val="006E2917"/>
    <w:rsid w:val="00701942"/>
    <w:rsid w:val="00724DCB"/>
    <w:rsid w:val="00726906"/>
    <w:rsid w:val="00756C84"/>
    <w:rsid w:val="00760561"/>
    <w:rsid w:val="00761111"/>
    <w:rsid w:val="00773388"/>
    <w:rsid w:val="00786DC2"/>
    <w:rsid w:val="007C2DF6"/>
    <w:rsid w:val="008569ED"/>
    <w:rsid w:val="008B5145"/>
    <w:rsid w:val="008D276C"/>
    <w:rsid w:val="008F68C8"/>
    <w:rsid w:val="00917A94"/>
    <w:rsid w:val="009201E3"/>
    <w:rsid w:val="00975960"/>
    <w:rsid w:val="0097713C"/>
    <w:rsid w:val="009F2B3D"/>
    <w:rsid w:val="009F323A"/>
    <w:rsid w:val="00AE761F"/>
    <w:rsid w:val="00AE7E42"/>
    <w:rsid w:val="00B409FA"/>
    <w:rsid w:val="00B50CFE"/>
    <w:rsid w:val="00B513F9"/>
    <w:rsid w:val="00B54D2B"/>
    <w:rsid w:val="00B86013"/>
    <w:rsid w:val="00BA3575"/>
    <w:rsid w:val="00BB0741"/>
    <w:rsid w:val="00BE6CF4"/>
    <w:rsid w:val="00BF3F21"/>
    <w:rsid w:val="00BF61E3"/>
    <w:rsid w:val="00C854BF"/>
    <w:rsid w:val="00CB341A"/>
    <w:rsid w:val="00CE1BB6"/>
    <w:rsid w:val="00CF2354"/>
    <w:rsid w:val="00D03B12"/>
    <w:rsid w:val="00D04870"/>
    <w:rsid w:val="00D720E0"/>
    <w:rsid w:val="00DB3DEE"/>
    <w:rsid w:val="00DD32A5"/>
    <w:rsid w:val="00E03970"/>
    <w:rsid w:val="00E4626A"/>
    <w:rsid w:val="00F23862"/>
    <w:rsid w:val="00F42C03"/>
    <w:rsid w:val="00F54DF4"/>
    <w:rsid w:val="00FC1D14"/>
    <w:rsid w:val="00FD25ED"/>
    <w:rsid w:val="00FD643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71F6E8"/>
  <w15:chartTrackingRefBased/>
  <w15:docId w15:val="{8F624C09-427E-405F-BA2B-B9A9E9D64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4870"/>
    <w:pPr>
      <w:spacing w:after="0" w:line="240" w:lineRule="auto"/>
    </w:pPr>
    <w:rPr>
      <w:rFonts w:ascii="Times New Roman" w:eastAsia="Times New Roman" w:hAnsi="Times New Roman" w:cs="Times New Roman"/>
      <w:b/>
      <w:color w:val="000000"/>
      <w:kern w:val="0"/>
      <w:sz w:val="20"/>
      <w:szCs w:val="20"/>
      <w:lang w:eastAsia="pt-BR"/>
    </w:rPr>
  </w:style>
  <w:style w:type="paragraph" w:styleId="Ttulo1">
    <w:name w:val="heading 1"/>
    <w:basedOn w:val="Normal"/>
    <w:next w:val="Normal"/>
    <w:link w:val="Ttulo1Char"/>
    <w:uiPriority w:val="9"/>
    <w:qFormat/>
    <w:rsid w:val="007733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7733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77338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7338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7338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7338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7338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7338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73388"/>
    <w:pPr>
      <w:keepNext/>
      <w:keepLines/>
      <w:outlineLvl w:val="8"/>
    </w:pPr>
    <w:rPr>
      <w:rFonts w:eastAsiaTheme="majorEastAsia" w:cstheme="majorBidi"/>
      <w:color w:val="272727" w:themeColor="text1" w:themeTint="D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73388"/>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773388"/>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773388"/>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73388"/>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73388"/>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73388"/>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73388"/>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73388"/>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73388"/>
    <w:rPr>
      <w:rFonts w:eastAsiaTheme="majorEastAsia" w:cstheme="majorBidi"/>
      <w:color w:val="272727" w:themeColor="text1" w:themeTint="D8"/>
    </w:rPr>
  </w:style>
  <w:style w:type="paragraph" w:styleId="Ttulo">
    <w:name w:val="Title"/>
    <w:basedOn w:val="Normal"/>
    <w:next w:val="Normal"/>
    <w:link w:val="TtuloChar"/>
    <w:uiPriority w:val="10"/>
    <w:qFormat/>
    <w:rsid w:val="00773388"/>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7338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73388"/>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73388"/>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73388"/>
    <w:pPr>
      <w:spacing w:before="160"/>
      <w:jc w:val="center"/>
    </w:pPr>
    <w:rPr>
      <w:i/>
      <w:iCs/>
      <w:color w:val="404040" w:themeColor="text1" w:themeTint="BF"/>
    </w:rPr>
  </w:style>
  <w:style w:type="character" w:customStyle="1" w:styleId="CitaoChar">
    <w:name w:val="Citação Char"/>
    <w:basedOn w:val="Fontepargpadro"/>
    <w:link w:val="Citao"/>
    <w:uiPriority w:val="29"/>
    <w:rsid w:val="00773388"/>
    <w:rPr>
      <w:i/>
      <w:iCs/>
      <w:color w:val="404040" w:themeColor="text1" w:themeTint="BF"/>
    </w:rPr>
  </w:style>
  <w:style w:type="paragraph" w:styleId="PargrafodaLista">
    <w:name w:val="List Paragraph"/>
    <w:basedOn w:val="Normal"/>
    <w:uiPriority w:val="34"/>
    <w:qFormat/>
    <w:rsid w:val="00773388"/>
    <w:pPr>
      <w:ind w:left="720"/>
      <w:contextualSpacing/>
    </w:pPr>
  </w:style>
  <w:style w:type="character" w:styleId="nfaseIntensa">
    <w:name w:val="Intense Emphasis"/>
    <w:basedOn w:val="Fontepargpadro"/>
    <w:uiPriority w:val="21"/>
    <w:qFormat/>
    <w:rsid w:val="00773388"/>
    <w:rPr>
      <w:i/>
      <w:iCs/>
      <w:color w:val="0F4761" w:themeColor="accent1" w:themeShade="BF"/>
    </w:rPr>
  </w:style>
  <w:style w:type="paragraph" w:styleId="CitaoIntensa">
    <w:name w:val="Intense Quote"/>
    <w:basedOn w:val="Normal"/>
    <w:next w:val="Normal"/>
    <w:link w:val="CitaoIntensaChar"/>
    <w:uiPriority w:val="30"/>
    <w:qFormat/>
    <w:rsid w:val="007733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73388"/>
    <w:rPr>
      <w:i/>
      <w:iCs/>
      <w:color w:val="0F4761" w:themeColor="accent1" w:themeShade="BF"/>
    </w:rPr>
  </w:style>
  <w:style w:type="character" w:styleId="RefernciaIntensa">
    <w:name w:val="Intense Reference"/>
    <w:basedOn w:val="Fontepargpadro"/>
    <w:uiPriority w:val="32"/>
    <w:qFormat/>
    <w:rsid w:val="00773388"/>
    <w:rPr>
      <w:b/>
      <w:bCs/>
      <w:smallCaps/>
      <w:color w:val="0F4761" w:themeColor="accent1" w:themeShade="BF"/>
      <w:spacing w:val="5"/>
    </w:rPr>
  </w:style>
  <w:style w:type="paragraph" w:styleId="Cabealho">
    <w:name w:val="header"/>
    <w:basedOn w:val="Normal"/>
    <w:link w:val="CabealhoChar"/>
    <w:uiPriority w:val="99"/>
    <w:unhideWhenUsed/>
    <w:rsid w:val="00773388"/>
    <w:pPr>
      <w:tabs>
        <w:tab w:val="center" w:pos="4252"/>
        <w:tab w:val="right" w:pos="8504"/>
      </w:tabs>
    </w:pPr>
  </w:style>
  <w:style w:type="character" w:customStyle="1" w:styleId="CabealhoChar">
    <w:name w:val="Cabeçalho Char"/>
    <w:basedOn w:val="Fontepargpadro"/>
    <w:link w:val="Cabealho"/>
    <w:uiPriority w:val="99"/>
    <w:rsid w:val="00773388"/>
  </w:style>
  <w:style w:type="paragraph" w:styleId="Rodap">
    <w:name w:val="footer"/>
    <w:basedOn w:val="Normal"/>
    <w:link w:val="RodapChar"/>
    <w:uiPriority w:val="99"/>
    <w:unhideWhenUsed/>
    <w:rsid w:val="00773388"/>
    <w:pPr>
      <w:tabs>
        <w:tab w:val="center" w:pos="4252"/>
        <w:tab w:val="right" w:pos="8504"/>
      </w:tabs>
    </w:pPr>
  </w:style>
  <w:style w:type="character" w:customStyle="1" w:styleId="RodapChar">
    <w:name w:val="Rodapé Char"/>
    <w:basedOn w:val="Fontepargpadro"/>
    <w:link w:val="Rodap"/>
    <w:uiPriority w:val="99"/>
    <w:rsid w:val="00773388"/>
  </w:style>
  <w:style w:type="character" w:styleId="Forte">
    <w:name w:val="Strong"/>
    <w:uiPriority w:val="22"/>
    <w:qFormat/>
    <w:rsid w:val="00D04870"/>
    <w:rPr>
      <w:b/>
    </w:rPr>
  </w:style>
  <w:style w:type="paragraph" w:styleId="NormalWeb">
    <w:name w:val="Normal (Web)"/>
    <w:basedOn w:val="Normal"/>
    <w:uiPriority w:val="99"/>
    <w:rsid w:val="00D04870"/>
    <w:pPr>
      <w:spacing w:before="100" w:beforeAutospacing="1" w:after="100" w:afterAutospacing="1"/>
    </w:pPr>
    <w:rPr>
      <w:b w:val="0"/>
      <w:color w:val="auto"/>
      <w:sz w:val="24"/>
      <w:szCs w:val="24"/>
    </w:rPr>
  </w:style>
  <w:style w:type="character" w:styleId="Hyperlink">
    <w:name w:val="Hyperlink"/>
    <w:basedOn w:val="Fontepargpadro"/>
    <w:uiPriority w:val="99"/>
    <w:unhideWhenUsed/>
    <w:rsid w:val="009201E3"/>
    <w:rPr>
      <w:color w:val="467886" w:themeColor="hyperlink"/>
      <w:u w:val="single"/>
    </w:rPr>
  </w:style>
  <w:style w:type="character" w:styleId="MenoPendente">
    <w:name w:val="Unresolved Mention"/>
    <w:basedOn w:val="Fontepargpadro"/>
    <w:uiPriority w:val="99"/>
    <w:semiHidden/>
    <w:unhideWhenUsed/>
    <w:rsid w:val="009201E3"/>
    <w:rPr>
      <w:color w:val="605E5C"/>
      <w:shd w:val="clear" w:color="auto" w:fill="E1DFDD"/>
    </w:rPr>
  </w:style>
  <w:style w:type="paragraph" w:styleId="Textodenotaderodap">
    <w:name w:val="footnote text"/>
    <w:basedOn w:val="Normal"/>
    <w:link w:val="TextodenotaderodapChar"/>
    <w:uiPriority w:val="99"/>
    <w:semiHidden/>
    <w:unhideWhenUsed/>
    <w:rsid w:val="00724DCB"/>
  </w:style>
  <w:style w:type="character" w:customStyle="1" w:styleId="TextodenotaderodapChar">
    <w:name w:val="Texto de nota de rodapé Char"/>
    <w:basedOn w:val="Fontepargpadro"/>
    <w:link w:val="Textodenotaderodap"/>
    <w:uiPriority w:val="99"/>
    <w:semiHidden/>
    <w:rsid w:val="00724DCB"/>
    <w:rPr>
      <w:rFonts w:ascii="Times New Roman" w:eastAsia="Times New Roman" w:hAnsi="Times New Roman" w:cs="Times New Roman"/>
      <w:b/>
      <w:color w:val="000000"/>
      <w:kern w:val="0"/>
      <w:sz w:val="20"/>
      <w:szCs w:val="20"/>
      <w:lang w:eastAsia="pt-BR"/>
    </w:rPr>
  </w:style>
  <w:style w:type="character" w:styleId="Refdenotaderodap">
    <w:name w:val="footnote reference"/>
    <w:basedOn w:val="Fontepargpadro"/>
    <w:uiPriority w:val="99"/>
    <w:semiHidden/>
    <w:unhideWhenUsed/>
    <w:rsid w:val="00724DC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diariolegislativo.almg.gov.br/2023/L20230811.pdf" TargetMode="External"/><Relationship Id="rId13" Type="http://schemas.openxmlformats.org/officeDocument/2006/relationships/hyperlink" Target="https://www.planalto.gov.br/ccivil_03/_ato2023-2026/2023/lei/l14624.htm" TargetMode="External"/><Relationship Id="rId3" Type="http://schemas.openxmlformats.org/officeDocument/2006/relationships/hyperlink" Target="https://mpmt.mp.br/portalcao/news/733/142655/direitos-das-pessoas-com-tea-tdah-e-tod/3" TargetMode="External"/><Relationship Id="rId7" Type="http://schemas.openxmlformats.org/officeDocument/2006/relationships/hyperlink" Target="https://mpmt.mp.br/portalcao/news/1013/109209/projeto-equipara-transtorno-do-deficit-de-atencao-a-deficiencia-para-efeitos-legais/822" TargetMode="External"/><Relationship Id="rId12" Type="http://schemas.openxmlformats.org/officeDocument/2006/relationships/hyperlink" Target="https://www.jusbrasil.com.br/topicos/10637721/artigo-30-da-constituicao-federal-de-1988" TargetMode="External"/><Relationship Id="rId2" Type="http://schemas.openxmlformats.org/officeDocument/2006/relationships/hyperlink" Target="https://www.gov.br/previdencia/pt-br/assuntos/previdencia-social/saude-e-seguranca-do-trabalhador/acidente_trabalho_incapacidade/AcompanhamentoMensal_AuxilioDoencaPrevidenciario_2020_completo_CID10.pdf" TargetMode="External"/><Relationship Id="rId1" Type="http://schemas.openxmlformats.org/officeDocument/2006/relationships/hyperlink" Target="https://iiscientific.com/artigos/0d93ca/" TargetMode="External"/><Relationship Id="rId6" Type="http://schemas.openxmlformats.org/officeDocument/2006/relationships/hyperlink" Target="https://www.camara.leg.br/radio/programas/painel-eletronico/1199992-deputado-alex-manente-dificuldades-trazidas-pelo-tdah-justificam-equiparacao-do-transtorno-a-deficiencia/" TargetMode="External"/><Relationship Id="rId11" Type="http://schemas.openxmlformats.org/officeDocument/2006/relationships/hyperlink" Target="https://www.camara.leg.br/proposicoesWeb/fichadetramitacao?idProposicao=2291884" TargetMode="External"/><Relationship Id="rId5" Type="http://schemas.openxmlformats.org/officeDocument/2006/relationships/hyperlink" Target="https://fabianalisboa.com.br/wp-content/uploads/2022/01/cid-11.pdf" TargetMode="External"/><Relationship Id="rId10" Type="http://schemas.openxmlformats.org/officeDocument/2006/relationships/hyperlink" Target="https://sapl.santarita.pb.leg.br/media/sapl/public/materialegislativa/2024/970/protocolo_1459.2024_projeto_de_lei_94.2024_ver._nininho_do_bode.pdf" TargetMode="External"/><Relationship Id="rId4" Type="http://schemas.openxmlformats.org/officeDocument/2006/relationships/hyperlink" Target="https://membros.analysispsicologia.com.br/wp-content/uploads/2024/06/DSM-V.pdf" TargetMode="External"/><Relationship Id="rId9" Type="http://schemas.openxmlformats.org/officeDocument/2006/relationships/hyperlink" Target="https://leismunicipais.com.br/a/sp/m/maua/lei-ordinaria/2023/608/6076/lei-ordinaria-n-6076-2023-institui-a-politica-municipal-de-protecao-e-atencao-aos-direitos-da-pessoa-com-transtorno-do-deficit-de-atencao-com-hiperatividade-tdah-no-ambito-do-municipio-de-maua-e-da-outras-providencias" TargetMode="External"/><Relationship Id="rId14" Type="http://schemas.openxmlformats.org/officeDocument/2006/relationships/hyperlink" Target="https://dogtagclan.com.br/blog/tdah-da-direito-a-fila-preferencial-descubra-o-que-diz-a-lei-e-como-o-cracha-pode-ajuda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55C4E9-74FD-447F-98CC-D25B692F3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8</Pages>
  <Words>2617</Words>
  <Characters>14133</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Amauri Leiros Jr</dc:creator>
  <cp:keywords/>
  <dc:description/>
  <cp:lastModifiedBy>Amauri Leiros Jr</cp:lastModifiedBy>
  <cp:revision>45</cp:revision>
  <dcterms:created xsi:type="dcterms:W3CDTF">2025-10-27T01:42:00Z</dcterms:created>
  <dcterms:modified xsi:type="dcterms:W3CDTF">2025-10-28T03:06:00Z</dcterms:modified>
</cp:coreProperties>
</file>