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47457" w14:textId="77777777" w:rsidR="00C574B5" w:rsidRDefault="00D64ED2" w:rsidP="008F5195">
      <w:pPr>
        <w:pStyle w:val="Ttulo2"/>
        <w:tabs>
          <w:tab w:val="left" w:pos="4456"/>
        </w:tabs>
        <w:spacing w:before="83" w:line="276" w:lineRule="auto"/>
        <w:ind w:left="1556"/>
        <w:jc w:val="left"/>
      </w:pPr>
      <w:r>
        <w:rPr>
          <w:noProof/>
          <w:lang w:val="pt-BR" w:eastAsia="pt-BR"/>
        </w:rPr>
        <w:drawing>
          <wp:anchor distT="0" distB="0" distL="0" distR="0" simplePos="0" relativeHeight="487535616" behindDoc="1" locked="0" layoutInCell="1" allowOverlap="1" wp14:anchorId="09436CA4" wp14:editId="42EFFB8A">
            <wp:simplePos x="0" y="0"/>
            <wp:positionH relativeFrom="page">
              <wp:posOffset>0</wp:posOffset>
            </wp:positionH>
            <wp:positionV relativeFrom="page">
              <wp:posOffset>15874</wp:posOffset>
            </wp:positionV>
            <wp:extent cx="7559040" cy="106667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59040" cy="10666729"/>
                    </a:xfrm>
                    <a:prstGeom prst="rect">
                      <a:avLst/>
                    </a:prstGeom>
                  </pic:spPr>
                </pic:pic>
              </a:graphicData>
            </a:graphic>
          </wp:anchor>
        </w:drawing>
      </w:r>
      <w:r>
        <w:t xml:space="preserve">PROJETO DE LEI Nº </w:t>
      </w:r>
      <w:r>
        <w:rPr>
          <w:rFonts w:ascii="Times New Roman" w:hAnsi="Times New Roman"/>
          <w:b w:val="0"/>
          <w:u w:val="thick"/>
        </w:rPr>
        <w:tab/>
      </w:r>
      <w:r>
        <w:rPr>
          <w:spacing w:val="-2"/>
        </w:rPr>
        <w:t>/2025</w:t>
      </w:r>
    </w:p>
    <w:p w14:paraId="7A90312D" w14:textId="77777777" w:rsidR="00C574B5" w:rsidRDefault="00D64ED2" w:rsidP="008F5195">
      <w:pPr>
        <w:spacing w:before="281" w:line="276" w:lineRule="auto"/>
        <w:ind w:left="1556"/>
        <w:rPr>
          <w:sz w:val="24"/>
        </w:rPr>
      </w:pPr>
      <w:r>
        <w:rPr>
          <w:b/>
          <w:sz w:val="24"/>
        </w:rPr>
        <w:t>Autoria:</w:t>
      </w:r>
      <w:r>
        <w:rPr>
          <w:b/>
          <w:spacing w:val="3"/>
          <w:sz w:val="24"/>
        </w:rPr>
        <w:t xml:space="preserve"> </w:t>
      </w:r>
      <w:r>
        <w:rPr>
          <w:sz w:val="24"/>
        </w:rPr>
        <w:t>Vereador</w:t>
      </w:r>
      <w:r>
        <w:rPr>
          <w:spacing w:val="-1"/>
          <w:sz w:val="24"/>
        </w:rPr>
        <w:t xml:space="preserve"> </w:t>
      </w:r>
      <w:r>
        <w:rPr>
          <w:sz w:val="24"/>
        </w:rPr>
        <w:t>Gabriel</w:t>
      </w:r>
      <w:r>
        <w:rPr>
          <w:spacing w:val="-1"/>
          <w:sz w:val="24"/>
        </w:rPr>
        <w:t xml:space="preserve"> </w:t>
      </w:r>
      <w:r>
        <w:rPr>
          <w:sz w:val="24"/>
        </w:rPr>
        <w:t>da</w:t>
      </w:r>
      <w:r>
        <w:rPr>
          <w:spacing w:val="-1"/>
          <w:sz w:val="24"/>
        </w:rPr>
        <w:t xml:space="preserve"> </w:t>
      </w:r>
      <w:r>
        <w:rPr>
          <w:sz w:val="24"/>
        </w:rPr>
        <w:t>Silva</w:t>
      </w:r>
      <w:r>
        <w:rPr>
          <w:spacing w:val="-1"/>
          <w:sz w:val="24"/>
        </w:rPr>
        <w:t xml:space="preserve"> </w:t>
      </w:r>
      <w:r>
        <w:rPr>
          <w:spacing w:val="-2"/>
          <w:sz w:val="24"/>
        </w:rPr>
        <w:t>Santos</w:t>
      </w:r>
    </w:p>
    <w:p w14:paraId="276314EC" w14:textId="77777777" w:rsidR="000A42FB" w:rsidRDefault="000A42FB" w:rsidP="008F5195">
      <w:pPr>
        <w:spacing w:line="276" w:lineRule="auto"/>
        <w:ind w:left="3600"/>
        <w:jc w:val="both"/>
        <w:rPr>
          <w:b/>
          <w:bCs/>
          <w:sz w:val="24"/>
          <w:szCs w:val="24"/>
        </w:rPr>
      </w:pPr>
    </w:p>
    <w:p w14:paraId="4D1D5292" w14:textId="6D177024" w:rsidR="000A42FB" w:rsidRDefault="008F5195" w:rsidP="008F5195">
      <w:pPr>
        <w:spacing w:line="276" w:lineRule="auto"/>
        <w:ind w:left="3600"/>
        <w:jc w:val="both"/>
        <w:rPr>
          <w:b/>
        </w:rPr>
      </w:pPr>
      <w:r w:rsidRPr="008F5195">
        <w:rPr>
          <w:b/>
          <w:bCs/>
          <w:sz w:val="24"/>
          <w:szCs w:val="24"/>
        </w:rPr>
        <w:t>Dispõe sobre a implantação de vagas de estacionamento preferenciais no Município de Bayeux/PB, reservadas às pessoas com Transtorno do Espectro Autista (TEA), devidamente sinalizadas com o Símbolo Mundial de Conscientização do Autismo, e dá outras providências.</w:t>
      </w:r>
    </w:p>
    <w:p w14:paraId="64BB7872" w14:textId="77777777" w:rsidR="008F5195" w:rsidRDefault="008F5195" w:rsidP="008F5195">
      <w:pPr>
        <w:spacing w:line="276" w:lineRule="auto"/>
        <w:jc w:val="both"/>
        <w:rPr>
          <w:b/>
        </w:rPr>
      </w:pPr>
    </w:p>
    <w:p w14:paraId="598DF12B" w14:textId="0F34E113" w:rsidR="000A42FB" w:rsidRPr="008F5195" w:rsidRDefault="00D64ED2" w:rsidP="008F5195">
      <w:pPr>
        <w:spacing w:line="276" w:lineRule="auto"/>
        <w:ind w:left="284"/>
        <w:jc w:val="both"/>
        <w:rPr>
          <w:sz w:val="24"/>
          <w:szCs w:val="24"/>
        </w:rPr>
      </w:pPr>
      <w:r w:rsidRPr="008F5195">
        <w:rPr>
          <w:b/>
          <w:sz w:val="24"/>
          <w:szCs w:val="24"/>
        </w:rPr>
        <w:t xml:space="preserve">Art. 1º </w:t>
      </w:r>
      <w:r w:rsidR="000A42FB" w:rsidRPr="008F5195">
        <w:rPr>
          <w:sz w:val="24"/>
          <w:szCs w:val="24"/>
        </w:rPr>
        <w:t>Ficam os estabelecimentos públicos e privados de uso coletivo localizados no Município de Bayeux obrigados a reservar vagas de estacionamento preferenciais destinadas às pessoas com Transtorno do Espectro Autista (TEA).</w:t>
      </w:r>
    </w:p>
    <w:p w14:paraId="12361E78" w14:textId="77777777" w:rsidR="00A4300C" w:rsidRDefault="00A4300C" w:rsidP="00A4300C">
      <w:pPr>
        <w:pStyle w:val="Numerada"/>
        <w:numPr>
          <w:ilvl w:val="0"/>
          <w:numId w:val="0"/>
        </w:numPr>
        <w:spacing w:line="240" w:lineRule="auto"/>
        <w:ind w:left="284"/>
        <w:jc w:val="both"/>
        <w:rPr>
          <w:rFonts w:ascii="Tahoma" w:hAnsi="Tahoma" w:cs="Tahoma"/>
          <w:b/>
          <w:bCs/>
          <w:sz w:val="24"/>
          <w:szCs w:val="24"/>
        </w:rPr>
      </w:pPr>
    </w:p>
    <w:p w14:paraId="7F914AA7" w14:textId="0AD11598" w:rsidR="000A42FB" w:rsidRPr="008F5195" w:rsidRDefault="000A42FB" w:rsidP="008F5195">
      <w:pPr>
        <w:pStyle w:val="Numerada"/>
        <w:numPr>
          <w:ilvl w:val="0"/>
          <w:numId w:val="0"/>
        </w:numPr>
        <w:spacing w:line="360" w:lineRule="auto"/>
        <w:ind w:left="284"/>
        <w:jc w:val="both"/>
        <w:rPr>
          <w:rFonts w:ascii="Tahoma" w:hAnsi="Tahoma" w:cs="Tahoma"/>
          <w:sz w:val="24"/>
          <w:szCs w:val="24"/>
        </w:rPr>
      </w:pPr>
      <w:r w:rsidRPr="008F5195">
        <w:rPr>
          <w:rFonts w:ascii="Tahoma" w:hAnsi="Tahoma" w:cs="Tahoma"/>
          <w:b/>
          <w:bCs/>
          <w:sz w:val="24"/>
          <w:szCs w:val="24"/>
        </w:rPr>
        <w:t>§ 1º</w:t>
      </w:r>
      <w:r w:rsidRPr="008F5195">
        <w:rPr>
          <w:rFonts w:ascii="Tahoma" w:hAnsi="Tahoma" w:cs="Tahoma"/>
          <w:sz w:val="24"/>
          <w:szCs w:val="24"/>
        </w:rPr>
        <w:t xml:space="preserve"> As Vagas deverão ser devidamente sinalizadas com:</w:t>
      </w:r>
    </w:p>
    <w:p w14:paraId="5B3C0495" w14:textId="77777777" w:rsidR="000A42FB" w:rsidRPr="008F5195" w:rsidRDefault="000A42FB" w:rsidP="008F5195">
      <w:pPr>
        <w:pStyle w:val="Numerada"/>
        <w:numPr>
          <w:ilvl w:val="0"/>
          <w:numId w:val="0"/>
        </w:numPr>
        <w:spacing w:line="360" w:lineRule="auto"/>
        <w:ind w:left="284"/>
        <w:jc w:val="both"/>
        <w:rPr>
          <w:rFonts w:ascii="Tahoma" w:hAnsi="Tahoma" w:cs="Tahoma"/>
          <w:sz w:val="24"/>
          <w:szCs w:val="24"/>
        </w:rPr>
      </w:pPr>
      <w:r w:rsidRPr="008F5195">
        <w:rPr>
          <w:rFonts w:ascii="Tahoma" w:hAnsi="Tahoma" w:cs="Tahoma"/>
          <w:b/>
          <w:bCs/>
          <w:sz w:val="24"/>
          <w:szCs w:val="24"/>
        </w:rPr>
        <w:t>I –</w:t>
      </w:r>
      <w:r w:rsidRPr="008F5195">
        <w:rPr>
          <w:rFonts w:ascii="Tahoma" w:hAnsi="Tahoma" w:cs="Tahoma"/>
          <w:sz w:val="24"/>
          <w:szCs w:val="24"/>
        </w:rPr>
        <w:t xml:space="preserve"> placa vertical contendo o Símbolo Mundial de Conscientização do Autismo, acompanhado da expressão </w:t>
      </w:r>
      <w:r w:rsidRPr="008F5195">
        <w:rPr>
          <w:rFonts w:ascii="Tahoma" w:hAnsi="Tahoma" w:cs="Tahoma"/>
          <w:b/>
          <w:bCs/>
          <w:sz w:val="24"/>
          <w:szCs w:val="24"/>
        </w:rPr>
        <w:t>“Vaga exclusiva para pessoa com TEA”</w:t>
      </w:r>
      <w:r w:rsidRPr="008F5195">
        <w:rPr>
          <w:rFonts w:ascii="Tahoma" w:hAnsi="Tahoma" w:cs="Tahoma"/>
          <w:sz w:val="24"/>
          <w:szCs w:val="24"/>
        </w:rPr>
        <w:t>;</w:t>
      </w:r>
    </w:p>
    <w:p w14:paraId="2888B59A" w14:textId="77777777" w:rsidR="000A42FB" w:rsidRPr="008F5195" w:rsidRDefault="000A42FB" w:rsidP="008F5195">
      <w:pPr>
        <w:pStyle w:val="Numerada"/>
        <w:numPr>
          <w:ilvl w:val="0"/>
          <w:numId w:val="0"/>
        </w:numPr>
        <w:spacing w:line="360" w:lineRule="auto"/>
        <w:ind w:left="284"/>
        <w:jc w:val="both"/>
        <w:rPr>
          <w:rFonts w:ascii="Tahoma" w:hAnsi="Tahoma" w:cs="Tahoma"/>
          <w:sz w:val="24"/>
          <w:szCs w:val="24"/>
        </w:rPr>
      </w:pPr>
      <w:r w:rsidRPr="008F5195">
        <w:rPr>
          <w:rFonts w:ascii="Tahoma" w:hAnsi="Tahoma" w:cs="Tahoma"/>
          <w:b/>
          <w:bCs/>
          <w:sz w:val="24"/>
          <w:szCs w:val="24"/>
        </w:rPr>
        <w:t>II –</w:t>
      </w:r>
      <w:r w:rsidRPr="008F5195">
        <w:rPr>
          <w:rFonts w:ascii="Tahoma" w:hAnsi="Tahoma" w:cs="Tahoma"/>
          <w:sz w:val="24"/>
          <w:szCs w:val="24"/>
        </w:rPr>
        <w:t xml:space="preserve"> demarcação horizontal no solo, utilizando o mesmo símbolo, cores padronizadas e pintura visível, conforme normas técnicas municipais e federais.</w:t>
      </w:r>
    </w:p>
    <w:p w14:paraId="1FAB96E2" w14:textId="77777777" w:rsidR="000A42FB" w:rsidRPr="008F5195" w:rsidRDefault="000A42FB" w:rsidP="008F5195">
      <w:pPr>
        <w:pStyle w:val="Numerada"/>
        <w:numPr>
          <w:ilvl w:val="0"/>
          <w:numId w:val="0"/>
        </w:numPr>
        <w:spacing w:line="360" w:lineRule="auto"/>
        <w:ind w:left="284"/>
        <w:jc w:val="both"/>
        <w:rPr>
          <w:rFonts w:ascii="Tahoma" w:hAnsi="Tahoma" w:cs="Tahoma"/>
          <w:sz w:val="24"/>
          <w:szCs w:val="24"/>
        </w:rPr>
      </w:pPr>
      <w:r w:rsidRPr="008F5195">
        <w:rPr>
          <w:rFonts w:ascii="Tahoma" w:hAnsi="Tahoma" w:cs="Tahoma"/>
          <w:b/>
          <w:bCs/>
          <w:sz w:val="24"/>
          <w:szCs w:val="24"/>
        </w:rPr>
        <w:t>§ 2º</w:t>
      </w:r>
      <w:r w:rsidRPr="008F5195">
        <w:rPr>
          <w:rFonts w:ascii="Tahoma" w:hAnsi="Tahoma" w:cs="Tahoma"/>
          <w:sz w:val="24"/>
          <w:szCs w:val="24"/>
        </w:rPr>
        <w:t xml:space="preserve"> Para os fins desta Lei, considera-se pessoa com Transtorno do Espectro Autista aquela definida no art. 1º da Lei Federal nº 12.764, de 27 de dezembro de 2012.</w:t>
      </w:r>
    </w:p>
    <w:p w14:paraId="6A117314" w14:textId="77777777" w:rsidR="000A42FB" w:rsidRPr="008F5195" w:rsidRDefault="00D64ED2" w:rsidP="008F5195">
      <w:pPr>
        <w:spacing w:line="360" w:lineRule="auto"/>
        <w:ind w:left="284"/>
        <w:jc w:val="both"/>
        <w:rPr>
          <w:sz w:val="24"/>
          <w:szCs w:val="24"/>
        </w:rPr>
      </w:pPr>
      <w:r w:rsidRPr="008F5195">
        <w:rPr>
          <w:b/>
          <w:sz w:val="24"/>
          <w:szCs w:val="24"/>
        </w:rPr>
        <w:t>Art.</w:t>
      </w:r>
      <w:r w:rsidRPr="008F5195">
        <w:rPr>
          <w:b/>
          <w:spacing w:val="-13"/>
          <w:sz w:val="24"/>
          <w:szCs w:val="24"/>
        </w:rPr>
        <w:t xml:space="preserve"> </w:t>
      </w:r>
      <w:r w:rsidRPr="008F5195">
        <w:rPr>
          <w:b/>
          <w:sz w:val="24"/>
          <w:szCs w:val="24"/>
        </w:rPr>
        <w:t>2º</w:t>
      </w:r>
      <w:r w:rsidRPr="008F5195">
        <w:rPr>
          <w:b/>
          <w:spacing w:val="-12"/>
          <w:sz w:val="24"/>
          <w:szCs w:val="24"/>
        </w:rPr>
        <w:t xml:space="preserve"> </w:t>
      </w:r>
      <w:r w:rsidR="000A42FB" w:rsidRPr="008F5195">
        <w:rPr>
          <w:sz w:val="24"/>
          <w:szCs w:val="24"/>
        </w:rPr>
        <w:t xml:space="preserve">As vagas reservadas para pessoas com TEA deverão corresponder a, no mínimo, </w:t>
      </w:r>
      <w:r w:rsidR="000A42FB" w:rsidRPr="00DD1FF2">
        <w:rPr>
          <w:b/>
          <w:bCs/>
          <w:sz w:val="24"/>
          <w:szCs w:val="24"/>
        </w:rPr>
        <w:t>2% (dois por cento)</w:t>
      </w:r>
      <w:r w:rsidR="000A42FB" w:rsidRPr="008F5195">
        <w:rPr>
          <w:sz w:val="24"/>
          <w:szCs w:val="24"/>
        </w:rPr>
        <w:t xml:space="preserve"> do total de vagas existentes em cada estacionamento, garantida pelo menos uma vaga, devidamente sinalizada conforme o disposto no artigo anterior.</w:t>
      </w:r>
    </w:p>
    <w:p w14:paraId="6707441B" w14:textId="24CEF26F" w:rsidR="000A42FB" w:rsidRPr="008F5195" w:rsidRDefault="00D64ED2" w:rsidP="008F5195">
      <w:pPr>
        <w:spacing w:line="360" w:lineRule="auto"/>
        <w:ind w:left="284"/>
        <w:jc w:val="both"/>
        <w:rPr>
          <w:sz w:val="24"/>
          <w:szCs w:val="24"/>
        </w:rPr>
      </w:pPr>
      <w:r w:rsidRPr="008F5195">
        <w:rPr>
          <w:b/>
          <w:sz w:val="24"/>
          <w:szCs w:val="24"/>
        </w:rPr>
        <w:t xml:space="preserve">Art. 3º </w:t>
      </w:r>
      <w:r w:rsidR="000A42FB" w:rsidRPr="008F5195">
        <w:rPr>
          <w:sz w:val="24"/>
          <w:szCs w:val="24"/>
        </w:rPr>
        <w:t>Nas áreas de estacionamento de uso público e coletivo, inclusive em vias públicas, deverão ser igualmente reservadas vagas específicas e sinalizadas conforme o padrão desta Lei e as normas do Conselho Nacional de Trânsito (CONTRAN), especialmente as Resoluções nº 302/2008 e nº 304/2008, ou as que vierem a substituí-las.</w:t>
      </w:r>
    </w:p>
    <w:p w14:paraId="1A898660" w14:textId="08F4DA01" w:rsidR="000A42FB" w:rsidRDefault="000A42FB" w:rsidP="008F5195">
      <w:pPr>
        <w:pStyle w:val="Numerada"/>
        <w:numPr>
          <w:ilvl w:val="0"/>
          <w:numId w:val="0"/>
        </w:numPr>
        <w:spacing w:line="360" w:lineRule="auto"/>
        <w:ind w:left="284"/>
        <w:jc w:val="both"/>
        <w:rPr>
          <w:rFonts w:ascii="Tahoma" w:hAnsi="Tahoma" w:cs="Tahoma"/>
          <w:sz w:val="24"/>
          <w:szCs w:val="24"/>
        </w:rPr>
      </w:pPr>
      <w:r w:rsidRPr="008F5195">
        <w:rPr>
          <w:rFonts w:ascii="Tahoma" w:hAnsi="Tahoma" w:cs="Tahoma"/>
          <w:b/>
          <w:bCs/>
          <w:sz w:val="24"/>
          <w:szCs w:val="24"/>
        </w:rPr>
        <w:t>§ 1º</w:t>
      </w:r>
      <w:r w:rsidRPr="008F5195">
        <w:rPr>
          <w:rFonts w:ascii="Tahoma" w:hAnsi="Tahoma" w:cs="Tahoma"/>
          <w:sz w:val="24"/>
          <w:szCs w:val="24"/>
        </w:rPr>
        <w:t xml:space="preserve"> Nas vias públicas, a responsabilidade pela realização das pinturas, demarcações horizontais e instalação das placas será da </w:t>
      </w:r>
      <w:r w:rsidRPr="00DD1FF2">
        <w:rPr>
          <w:rFonts w:ascii="Tahoma" w:hAnsi="Tahoma" w:cs="Tahoma"/>
          <w:b/>
          <w:bCs/>
          <w:sz w:val="24"/>
          <w:szCs w:val="24"/>
        </w:rPr>
        <w:t>SEMOB</w:t>
      </w:r>
      <w:r w:rsidR="00DD1FF2" w:rsidRPr="00DD1FF2">
        <w:rPr>
          <w:rFonts w:ascii="Tahoma" w:hAnsi="Tahoma" w:cs="Tahoma"/>
          <w:b/>
          <w:bCs/>
          <w:sz w:val="24"/>
          <w:szCs w:val="24"/>
        </w:rPr>
        <w:t>/Bayeux</w:t>
      </w:r>
      <w:r w:rsidRPr="00DD1FF2">
        <w:rPr>
          <w:rFonts w:ascii="Tahoma" w:hAnsi="Tahoma" w:cs="Tahoma"/>
          <w:b/>
          <w:bCs/>
          <w:sz w:val="24"/>
          <w:szCs w:val="24"/>
        </w:rPr>
        <w:t xml:space="preserve"> – Superintendencia Executiva de Mobilidade Urbana de Bayeux/PB</w:t>
      </w:r>
      <w:r w:rsidRPr="008F5195">
        <w:rPr>
          <w:rFonts w:ascii="Tahoma" w:hAnsi="Tahoma" w:cs="Tahoma"/>
          <w:sz w:val="24"/>
          <w:szCs w:val="24"/>
        </w:rPr>
        <w:t>.</w:t>
      </w:r>
    </w:p>
    <w:p w14:paraId="15671BCE" w14:textId="77777777" w:rsidR="008F5195" w:rsidRDefault="008F5195" w:rsidP="008F5195">
      <w:pPr>
        <w:pStyle w:val="Numerada"/>
        <w:numPr>
          <w:ilvl w:val="0"/>
          <w:numId w:val="0"/>
        </w:numPr>
        <w:spacing w:line="360" w:lineRule="auto"/>
        <w:ind w:left="284"/>
        <w:jc w:val="both"/>
        <w:rPr>
          <w:rFonts w:ascii="Tahoma" w:hAnsi="Tahoma" w:cs="Tahoma"/>
          <w:sz w:val="24"/>
          <w:szCs w:val="24"/>
        </w:rPr>
      </w:pPr>
    </w:p>
    <w:p w14:paraId="6BBBBE5D" w14:textId="77777777" w:rsidR="008F5195" w:rsidRPr="008F5195" w:rsidRDefault="008F5195" w:rsidP="008F5195">
      <w:pPr>
        <w:pStyle w:val="Numerada"/>
        <w:numPr>
          <w:ilvl w:val="0"/>
          <w:numId w:val="0"/>
        </w:numPr>
        <w:spacing w:line="360" w:lineRule="auto"/>
        <w:ind w:left="284"/>
        <w:jc w:val="both"/>
        <w:rPr>
          <w:rFonts w:ascii="Tahoma" w:hAnsi="Tahoma" w:cs="Tahoma"/>
          <w:sz w:val="24"/>
          <w:szCs w:val="24"/>
        </w:rPr>
      </w:pPr>
    </w:p>
    <w:p w14:paraId="375CF006" w14:textId="77777777" w:rsidR="008F5195" w:rsidRDefault="000A42FB" w:rsidP="008F5195">
      <w:pPr>
        <w:pStyle w:val="Numerada"/>
        <w:numPr>
          <w:ilvl w:val="0"/>
          <w:numId w:val="0"/>
        </w:numPr>
        <w:spacing w:line="360" w:lineRule="auto"/>
        <w:ind w:left="142"/>
        <w:jc w:val="both"/>
        <w:rPr>
          <w:rFonts w:ascii="Tahoma" w:hAnsi="Tahoma" w:cs="Tahoma"/>
          <w:sz w:val="24"/>
          <w:szCs w:val="24"/>
        </w:rPr>
      </w:pPr>
      <w:r w:rsidRPr="008F5195">
        <w:rPr>
          <w:rFonts w:ascii="Tahoma" w:hAnsi="Tahoma" w:cs="Tahoma"/>
          <w:b/>
          <w:bCs/>
          <w:sz w:val="24"/>
          <w:szCs w:val="24"/>
        </w:rPr>
        <w:lastRenderedPageBreak/>
        <w:t>§ 2º</w:t>
      </w:r>
      <w:r w:rsidRPr="008F5195">
        <w:rPr>
          <w:rFonts w:ascii="Tahoma" w:hAnsi="Tahoma" w:cs="Tahoma"/>
          <w:sz w:val="24"/>
          <w:szCs w:val="24"/>
        </w:rPr>
        <w:t xml:space="preserve"> Nos estacionamentos privados, a responsabilidade pela demarcação e sinalização será dos próprios estabelecimentos, conforme definido no Art. 1º.</w:t>
      </w:r>
    </w:p>
    <w:p w14:paraId="0370F3EB" w14:textId="2420DDCE" w:rsidR="008F5195" w:rsidRPr="008F5195" w:rsidRDefault="008F5195" w:rsidP="008F5195">
      <w:pPr>
        <w:pStyle w:val="Corpodetexto"/>
        <w:spacing w:before="78" w:line="360" w:lineRule="auto"/>
        <w:ind w:left="142" w:right="139"/>
        <w:jc w:val="both"/>
      </w:pPr>
      <w:bookmarkStart w:id="0" w:name="_GoBack"/>
      <w:r w:rsidRPr="008F5195">
        <w:rPr>
          <w:noProof/>
          <w:lang w:val="pt-BR" w:eastAsia="pt-BR"/>
        </w:rPr>
        <w:drawing>
          <wp:anchor distT="0" distB="0" distL="0" distR="0" simplePos="0" relativeHeight="487538688" behindDoc="1" locked="0" layoutInCell="1" allowOverlap="1" wp14:anchorId="0AC75F45" wp14:editId="67D0F1D8">
            <wp:simplePos x="0" y="0"/>
            <wp:positionH relativeFrom="page">
              <wp:posOffset>0</wp:posOffset>
            </wp:positionH>
            <wp:positionV relativeFrom="page">
              <wp:posOffset>15874</wp:posOffset>
            </wp:positionV>
            <wp:extent cx="7559040" cy="10666729"/>
            <wp:effectExtent l="0" t="0" r="0" b="0"/>
            <wp:wrapNone/>
            <wp:docPr id="1976979513" name="Image 2" descr="Tela de computador com texto preto sobre fundo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6979513" name="Image 2" descr="Tela de computador com texto preto sobre fundo branco&#10;&#10;O conteúdo gerado por IA pode estar incorreto."/>
                    <pic:cNvPicPr/>
                  </pic:nvPicPr>
                  <pic:blipFill>
                    <a:blip r:embed="rId5" cstate="print"/>
                    <a:stretch>
                      <a:fillRect/>
                    </a:stretch>
                  </pic:blipFill>
                  <pic:spPr>
                    <a:xfrm>
                      <a:off x="0" y="0"/>
                      <a:ext cx="7559040" cy="10666729"/>
                    </a:xfrm>
                    <a:prstGeom prst="rect">
                      <a:avLst/>
                    </a:prstGeom>
                  </pic:spPr>
                </pic:pic>
              </a:graphicData>
            </a:graphic>
          </wp:anchor>
        </w:drawing>
      </w:r>
      <w:bookmarkEnd w:id="0"/>
      <w:r>
        <w:rPr>
          <w:b/>
        </w:rPr>
        <w:t xml:space="preserve"> </w:t>
      </w:r>
      <w:r w:rsidRPr="008F5195">
        <w:rPr>
          <w:b/>
        </w:rPr>
        <w:t>Art.</w:t>
      </w:r>
      <w:r w:rsidRPr="008F5195">
        <w:rPr>
          <w:b/>
          <w:spacing w:val="-1"/>
        </w:rPr>
        <w:t xml:space="preserve"> </w:t>
      </w:r>
      <w:r w:rsidRPr="008F5195">
        <w:rPr>
          <w:b/>
        </w:rPr>
        <w:t>4º</w:t>
      </w:r>
      <w:r w:rsidRPr="008F5195">
        <w:rPr>
          <w:b/>
          <w:spacing w:val="-1"/>
        </w:rPr>
        <w:t xml:space="preserve"> </w:t>
      </w:r>
      <w:r w:rsidRPr="008F5195">
        <w:t xml:space="preserve">O uso das vagas de que trata esta Lei será permitido exclusivamente aos veículos que estiverem: </w:t>
      </w:r>
    </w:p>
    <w:p w14:paraId="1F4A3AC4" w14:textId="77777777" w:rsidR="008F5195" w:rsidRPr="008F5195" w:rsidRDefault="008F5195" w:rsidP="008F5195">
      <w:pPr>
        <w:pStyle w:val="Corpodetexto"/>
        <w:spacing w:before="78" w:line="360" w:lineRule="auto"/>
        <w:ind w:left="284" w:right="139"/>
        <w:jc w:val="both"/>
      </w:pPr>
      <w:r w:rsidRPr="008F5195">
        <w:rPr>
          <w:b/>
          <w:bCs/>
        </w:rPr>
        <w:t>I –</w:t>
      </w:r>
      <w:r w:rsidRPr="008F5195">
        <w:t xml:space="preserve"> identificados com a credencial emitida pelo órgão competente; ou </w:t>
      </w:r>
    </w:p>
    <w:p w14:paraId="7DBD341C" w14:textId="77777777" w:rsidR="008F5195" w:rsidRPr="008F5195" w:rsidRDefault="008F5195" w:rsidP="008F5195">
      <w:pPr>
        <w:pStyle w:val="Corpodetexto"/>
        <w:spacing w:before="78" w:line="360" w:lineRule="auto"/>
        <w:ind w:left="284" w:right="139"/>
        <w:jc w:val="both"/>
      </w:pPr>
      <w:r w:rsidRPr="008F5195">
        <w:rPr>
          <w:b/>
          <w:bCs/>
        </w:rPr>
        <w:t>II –</w:t>
      </w:r>
      <w:r w:rsidRPr="008F5195">
        <w:t xml:space="preserve"> portando a Carteira de Identificação da Pessoa com Transtorno do Espectro Autista (CIPTEA), instituída pela Lei Federal nº 13.977/2020.</w:t>
      </w:r>
    </w:p>
    <w:p w14:paraId="5E851E3D" w14:textId="77777777" w:rsidR="008F5195" w:rsidRPr="008F5195" w:rsidRDefault="008F5195" w:rsidP="008F5195">
      <w:pPr>
        <w:pStyle w:val="Corpodetexto"/>
        <w:spacing w:before="289" w:line="360" w:lineRule="auto"/>
        <w:ind w:left="284" w:right="139"/>
        <w:jc w:val="both"/>
      </w:pPr>
      <w:r w:rsidRPr="008F5195">
        <w:rPr>
          <w:b/>
        </w:rPr>
        <w:t xml:space="preserve">Art. 5º </w:t>
      </w:r>
      <w:r w:rsidRPr="008F5195">
        <w:t xml:space="preserve">O descumprimento das disposições desta Lei sujeitará o infrator às seguintes penalidades: </w:t>
      </w:r>
    </w:p>
    <w:p w14:paraId="33E604F8" w14:textId="77777777" w:rsidR="008F5195" w:rsidRPr="008F5195" w:rsidRDefault="008F5195" w:rsidP="008F5195">
      <w:pPr>
        <w:pStyle w:val="Corpodetexto"/>
        <w:spacing w:before="289" w:line="360" w:lineRule="auto"/>
        <w:ind w:left="284" w:right="139"/>
        <w:jc w:val="both"/>
      </w:pPr>
      <w:r w:rsidRPr="008F5195">
        <w:rPr>
          <w:b/>
          <w:bCs/>
        </w:rPr>
        <w:t>I –</w:t>
      </w:r>
      <w:r w:rsidRPr="008F5195">
        <w:t xml:space="preserve"> advertência por escrito, com prazo de até 30 (trinta) dias para adequação;</w:t>
      </w:r>
    </w:p>
    <w:p w14:paraId="1A596CC5" w14:textId="77777777" w:rsidR="008F5195" w:rsidRPr="008F5195" w:rsidRDefault="008F5195" w:rsidP="008F5195">
      <w:pPr>
        <w:pStyle w:val="Corpodetexto"/>
        <w:spacing w:before="289" w:line="360" w:lineRule="auto"/>
        <w:ind w:left="284" w:right="139"/>
        <w:jc w:val="both"/>
      </w:pPr>
      <w:r w:rsidRPr="008F5195">
        <w:rPr>
          <w:b/>
          <w:bCs/>
        </w:rPr>
        <w:t>II –</w:t>
      </w:r>
      <w:r w:rsidRPr="008F5195">
        <w:t xml:space="preserve"> persistindo a irregularidade, aplicação de multa no valor de R$ 500,00 (quinhentos reais) por vaga em desconformidade, dobrada em caso de reincidência; </w:t>
      </w:r>
    </w:p>
    <w:p w14:paraId="73AE90C3" w14:textId="77777777" w:rsidR="008F5195" w:rsidRPr="008F5195" w:rsidRDefault="008F5195" w:rsidP="008F5195">
      <w:pPr>
        <w:pStyle w:val="Corpodetexto"/>
        <w:spacing w:before="289" w:line="360" w:lineRule="auto"/>
        <w:ind w:left="284" w:right="139"/>
        <w:jc w:val="both"/>
      </w:pPr>
      <w:r w:rsidRPr="008F5195">
        <w:rPr>
          <w:b/>
          <w:bCs/>
        </w:rPr>
        <w:t>III –</w:t>
      </w:r>
      <w:r w:rsidRPr="008F5195">
        <w:t xml:space="preserve"> nos casos de uso indevido das vagas, aplicação das penalidades previstas no Código de Trânsito Brasileiro, sem prejuízo das sanções administrativas municipais.</w:t>
      </w:r>
    </w:p>
    <w:p w14:paraId="0AF488D2" w14:textId="77777777" w:rsidR="008F5195" w:rsidRPr="008F5195" w:rsidRDefault="008F5195" w:rsidP="008F5195">
      <w:pPr>
        <w:pStyle w:val="Corpodetexto"/>
        <w:spacing w:before="289" w:line="360" w:lineRule="auto"/>
        <w:ind w:left="284" w:right="139"/>
        <w:jc w:val="both"/>
      </w:pPr>
      <w:r w:rsidRPr="008F5195">
        <w:rPr>
          <w:b/>
        </w:rPr>
        <w:t xml:space="preserve">Art. 6º </w:t>
      </w:r>
      <w:r w:rsidRPr="008F5195">
        <w:t>O Poder Executivo regulamentará esta Lei no prazo de 60 (sessenta) dias contados da data de sua publicação, estabelecendo os padrões de sinalização, fiscalização, e demais procedimentos administrativos necessários à sua execução.</w:t>
      </w:r>
    </w:p>
    <w:p w14:paraId="62319D0E" w14:textId="34434352" w:rsidR="008F5195" w:rsidRPr="008F5195" w:rsidRDefault="008F5195" w:rsidP="008F5195">
      <w:pPr>
        <w:pStyle w:val="Corpodetexto"/>
        <w:spacing w:line="360" w:lineRule="auto"/>
        <w:ind w:left="284" w:right="139"/>
        <w:jc w:val="both"/>
      </w:pPr>
      <w:r w:rsidRPr="008F5195">
        <w:rPr>
          <w:b/>
        </w:rPr>
        <w:t xml:space="preserve">Art. 7º </w:t>
      </w:r>
      <w:r w:rsidRPr="008F5195">
        <w:t>Os estabelecimentos e órgãos públicos terão o prazo de 90 (noventa) dias a contar da publicação desta Lei para adequar seus estacionamentos às exigências aqui previstas.</w:t>
      </w:r>
    </w:p>
    <w:p w14:paraId="246307D7" w14:textId="64787F21" w:rsidR="008F5195" w:rsidRPr="008F5195" w:rsidRDefault="008F5195" w:rsidP="008F5195">
      <w:pPr>
        <w:pStyle w:val="Corpodetexto"/>
        <w:spacing w:line="360" w:lineRule="auto"/>
        <w:ind w:left="284"/>
        <w:jc w:val="both"/>
      </w:pPr>
      <w:r w:rsidRPr="008F5195">
        <w:rPr>
          <w:b/>
        </w:rPr>
        <w:t>Art.</w:t>
      </w:r>
      <w:r w:rsidRPr="008F5195">
        <w:rPr>
          <w:b/>
          <w:spacing w:val="-3"/>
        </w:rPr>
        <w:t xml:space="preserve"> </w:t>
      </w:r>
      <w:r w:rsidRPr="008F5195">
        <w:rPr>
          <w:b/>
        </w:rPr>
        <w:t xml:space="preserve">8º </w:t>
      </w:r>
      <w:r w:rsidRPr="008F5195">
        <w:t>Esta Lei entra em</w:t>
      </w:r>
      <w:r w:rsidRPr="008F5195">
        <w:rPr>
          <w:spacing w:val="-2"/>
        </w:rPr>
        <w:t xml:space="preserve"> </w:t>
      </w:r>
      <w:r w:rsidRPr="008F5195">
        <w:t xml:space="preserve">vigor na data de sua </w:t>
      </w:r>
      <w:r w:rsidRPr="008F5195">
        <w:rPr>
          <w:spacing w:val="-2"/>
        </w:rPr>
        <w:t>publicação.</w:t>
      </w:r>
    </w:p>
    <w:p w14:paraId="06309036" w14:textId="55285C36" w:rsidR="008F5195" w:rsidRDefault="008F5195" w:rsidP="008F5195">
      <w:pPr>
        <w:pStyle w:val="Corpodetexto"/>
      </w:pPr>
    </w:p>
    <w:p w14:paraId="2DAA1F78" w14:textId="3E6D85A9" w:rsidR="008F5195" w:rsidRPr="0062766D" w:rsidRDefault="008F5195" w:rsidP="008F5195">
      <w:pPr>
        <w:jc w:val="right"/>
        <w:rPr>
          <w:b/>
          <w:sz w:val="21"/>
          <w:szCs w:val="21"/>
        </w:rPr>
      </w:pPr>
      <w:r w:rsidRPr="0062766D">
        <w:rPr>
          <w:b/>
          <w:sz w:val="21"/>
          <w:szCs w:val="21"/>
        </w:rPr>
        <w:t>Sala</w:t>
      </w:r>
      <w:r w:rsidRPr="0062766D">
        <w:rPr>
          <w:b/>
          <w:spacing w:val="-7"/>
          <w:sz w:val="21"/>
          <w:szCs w:val="21"/>
        </w:rPr>
        <w:t xml:space="preserve"> </w:t>
      </w:r>
      <w:r w:rsidRPr="0062766D">
        <w:rPr>
          <w:b/>
          <w:sz w:val="21"/>
          <w:szCs w:val="21"/>
        </w:rPr>
        <w:t>das</w:t>
      </w:r>
      <w:r w:rsidRPr="0062766D">
        <w:rPr>
          <w:b/>
          <w:spacing w:val="-5"/>
          <w:sz w:val="21"/>
          <w:szCs w:val="21"/>
        </w:rPr>
        <w:t xml:space="preserve"> </w:t>
      </w:r>
      <w:r w:rsidRPr="0062766D">
        <w:rPr>
          <w:b/>
          <w:sz w:val="21"/>
          <w:szCs w:val="21"/>
        </w:rPr>
        <w:t>Sessões</w:t>
      </w:r>
      <w:r w:rsidRPr="0062766D">
        <w:rPr>
          <w:b/>
          <w:spacing w:val="-5"/>
          <w:sz w:val="21"/>
          <w:szCs w:val="21"/>
        </w:rPr>
        <w:t xml:space="preserve"> </w:t>
      </w:r>
      <w:r w:rsidRPr="0062766D">
        <w:rPr>
          <w:b/>
          <w:sz w:val="21"/>
          <w:szCs w:val="21"/>
        </w:rPr>
        <w:t>da</w:t>
      </w:r>
      <w:r w:rsidRPr="0062766D">
        <w:rPr>
          <w:b/>
          <w:spacing w:val="-5"/>
          <w:sz w:val="21"/>
          <w:szCs w:val="21"/>
        </w:rPr>
        <w:t xml:space="preserve"> </w:t>
      </w:r>
      <w:r w:rsidRPr="0062766D">
        <w:rPr>
          <w:b/>
          <w:sz w:val="21"/>
          <w:szCs w:val="21"/>
        </w:rPr>
        <w:t>Câmara</w:t>
      </w:r>
      <w:r w:rsidRPr="0062766D">
        <w:rPr>
          <w:b/>
          <w:spacing w:val="-5"/>
          <w:sz w:val="21"/>
          <w:szCs w:val="21"/>
        </w:rPr>
        <w:t xml:space="preserve"> </w:t>
      </w:r>
      <w:r w:rsidRPr="0062766D">
        <w:rPr>
          <w:b/>
          <w:sz w:val="21"/>
          <w:szCs w:val="21"/>
        </w:rPr>
        <w:t>Municipal</w:t>
      </w:r>
      <w:r w:rsidRPr="0062766D">
        <w:rPr>
          <w:b/>
          <w:spacing w:val="-5"/>
          <w:sz w:val="21"/>
          <w:szCs w:val="21"/>
        </w:rPr>
        <w:t xml:space="preserve"> </w:t>
      </w:r>
      <w:r w:rsidRPr="0062766D">
        <w:rPr>
          <w:b/>
          <w:sz w:val="21"/>
          <w:szCs w:val="21"/>
        </w:rPr>
        <w:t>de</w:t>
      </w:r>
      <w:r w:rsidRPr="0062766D">
        <w:rPr>
          <w:b/>
          <w:spacing w:val="-5"/>
          <w:sz w:val="21"/>
          <w:szCs w:val="21"/>
        </w:rPr>
        <w:t xml:space="preserve"> </w:t>
      </w:r>
      <w:r w:rsidRPr="0062766D">
        <w:rPr>
          <w:b/>
          <w:sz w:val="21"/>
          <w:szCs w:val="21"/>
        </w:rPr>
        <w:t>Bayeux,</w:t>
      </w:r>
      <w:r w:rsidRPr="0062766D">
        <w:rPr>
          <w:b/>
          <w:spacing w:val="-5"/>
          <w:sz w:val="21"/>
          <w:szCs w:val="21"/>
        </w:rPr>
        <w:t xml:space="preserve"> </w:t>
      </w:r>
      <w:r w:rsidRPr="0062766D">
        <w:rPr>
          <w:b/>
          <w:sz w:val="21"/>
          <w:szCs w:val="21"/>
        </w:rPr>
        <w:t>0</w:t>
      </w:r>
      <w:r w:rsidR="0062766D" w:rsidRPr="0062766D">
        <w:rPr>
          <w:b/>
          <w:sz w:val="21"/>
          <w:szCs w:val="21"/>
        </w:rPr>
        <w:t>7</w:t>
      </w:r>
      <w:r w:rsidRPr="0062766D">
        <w:rPr>
          <w:b/>
          <w:spacing w:val="-6"/>
          <w:sz w:val="21"/>
          <w:szCs w:val="21"/>
        </w:rPr>
        <w:t xml:space="preserve"> </w:t>
      </w:r>
      <w:r w:rsidRPr="0062766D">
        <w:rPr>
          <w:b/>
          <w:sz w:val="21"/>
          <w:szCs w:val="21"/>
        </w:rPr>
        <w:t>de</w:t>
      </w:r>
      <w:r w:rsidRPr="0062766D">
        <w:rPr>
          <w:b/>
          <w:spacing w:val="-5"/>
          <w:sz w:val="21"/>
          <w:szCs w:val="21"/>
        </w:rPr>
        <w:t xml:space="preserve"> </w:t>
      </w:r>
      <w:r w:rsidRPr="0062766D">
        <w:rPr>
          <w:b/>
          <w:sz w:val="21"/>
          <w:szCs w:val="21"/>
        </w:rPr>
        <w:t>outubro</w:t>
      </w:r>
      <w:r w:rsidRPr="0062766D">
        <w:rPr>
          <w:b/>
          <w:spacing w:val="-6"/>
          <w:sz w:val="21"/>
          <w:szCs w:val="21"/>
        </w:rPr>
        <w:t xml:space="preserve"> </w:t>
      </w:r>
      <w:r w:rsidRPr="0062766D">
        <w:rPr>
          <w:b/>
          <w:sz w:val="21"/>
          <w:szCs w:val="21"/>
        </w:rPr>
        <w:t>de</w:t>
      </w:r>
      <w:r w:rsidRPr="0062766D">
        <w:rPr>
          <w:b/>
          <w:spacing w:val="-4"/>
          <w:sz w:val="21"/>
          <w:szCs w:val="21"/>
        </w:rPr>
        <w:t xml:space="preserve"> </w:t>
      </w:r>
      <w:r w:rsidRPr="0062766D">
        <w:rPr>
          <w:b/>
          <w:spacing w:val="-2"/>
          <w:sz w:val="21"/>
          <w:szCs w:val="21"/>
        </w:rPr>
        <w:t>2025.</w:t>
      </w:r>
    </w:p>
    <w:p w14:paraId="728619DB" w14:textId="0AAD880E" w:rsidR="008F5195" w:rsidRDefault="00D64ED2" w:rsidP="008F5195">
      <w:pPr>
        <w:pStyle w:val="Corpodetexto"/>
        <w:rPr>
          <w:b/>
          <w:sz w:val="20"/>
        </w:rPr>
      </w:pPr>
      <w:r>
        <w:rPr>
          <w:noProof/>
          <w:lang w:val="pt-BR" w:eastAsia="pt-BR"/>
        </w:rPr>
        <w:drawing>
          <wp:anchor distT="0" distB="0" distL="114300" distR="114300" simplePos="0" relativeHeight="487540736" behindDoc="0" locked="0" layoutInCell="1" allowOverlap="1" wp14:anchorId="1B283FB0" wp14:editId="03319638">
            <wp:simplePos x="0" y="0"/>
            <wp:positionH relativeFrom="margin">
              <wp:posOffset>2409825</wp:posOffset>
            </wp:positionH>
            <wp:positionV relativeFrom="margin">
              <wp:posOffset>8117205</wp:posOffset>
            </wp:positionV>
            <wp:extent cx="680085" cy="266700"/>
            <wp:effectExtent l="0" t="0" r="571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inatura Gabriel Silv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0085" cy="266700"/>
                    </a:xfrm>
                    <a:prstGeom prst="rect">
                      <a:avLst/>
                    </a:prstGeom>
                  </pic:spPr>
                </pic:pic>
              </a:graphicData>
            </a:graphic>
            <wp14:sizeRelH relativeFrom="margin">
              <wp14:pctWidth>0</wp14:pctWidth>
            </wp14:sizeRelH>
            <wp14:sizeRelV relativeFrom="margin">
              <wp14:pctHeight>0</wp14:pctHeight>
            </wp14:sizeRelV>
          </wp:anchor>
        </w:drawing>
      </w:r>
    </w:p>
    <w:p w14:paraId="6C0C417D" w14:textId="7D541336" w:rsidR="008F5195" w:rsidRDefault="008F5195" w:rsidP="008F5195">
      <w:pPr>
        <w:pStyle w:val="Ttulo1"/>
        <w:ind w:right="2"/>
        <w:jc w:val="left"/>
      </w:pPr>
    </w:p>
    <w:p w14:paraId="2D395039" w14:textId="0CC39B4A" w:rsidR="008F5195" w:rsidRDefault="008F5195" w:rsidP="008F5195">
      <w:pPr>
        <w:pStyle w:val="Ttulo1"/>
        <w:ind w:right="2"/>
        <w:rPr>
          <w:spacing w:val="-2"/>
        </w:rPr>
      </w:pPr>
      <w:r>
        <w:t>GABRIEL</w:t>
      </w:r>
      <w:r>
        <w:rPr>
          <w:spacing w:val="-1"/>
        </w:rPr>
        <w:t xml:space="preserve"> </w:t>
      </w:r>
      <w:r>
        <w:rPr>
          <w:spacing w:val="-2"/>
        </w:rPr>
        <w:t>SILVA</w:t>
      </w:r>
    </w:p>
    <w:p w14:paraId="4329C5AB" w14:textId="62C6D27F" w:rsidR="008F5195" w:rsidRDefault="008F5195" w:rsidP="008F5195">
      <w:pPr>
        <w:pStyle w:val="Corpodetexto"/>
        <w:spacing w:before="3"/>
        <w:ind w:left="1" w:right="2"/>
        <w:jc w:val="center"/>
      </w:pPr>
      <w:r>
        <w:t>VEREADOR</w:t>
      </w:r>
      <w:r>
        <w:rPr>
          <w:spacing w:val="-1"/>
        </w:rPr>
        <w:t xml:space="preserve"> </w:t>
      </w:r>
      <w:r>
        <w:t xml:space="preserve">– </w:t>
      </w:r>
      <w:r>
        <w:rPr>
          <w:spacing w:val="-5"/>
        </w:rPr>
        <w:t>PSB</w:t>
      </w:r>
    </w:p>
    <w:p w14:paraId="45FE2DA4" w14:textId="5E7727C4" w:rsidR="008F5195" w:rsidRDefault="008F5195" w:rsidP="008F5195">
      <w:pPr>
        <w:pStyle w:val="Ttulo1"/>
        <w:ind w:right="2"/>
      </w:pPr>
    </w:p>
    <w:p w14:paraId="6637ED9D" w14:textId="0C5B9BB1" w:rsidR="008F5195" w:rsidRPr="008F5195" w:rsidRDefault="008F5195" w:rsidP="008F5195">
      <w:pPr>
        <w:pStyle w:val="Numerada"/>
        <w:numPr>
          <w:ilvl w:val="0"/>
          <w:numId w:val="0"/>
        </w:numPr>
        <w:spacing w:line="360" w:lineRule="auto"/>
        <w:ind w:left="284"/>
        <w:jc w:val="both"/>
        <w:rPr>
          <w:rFonts w:ascii="Tahoma" w:hAnsi="Tahoma" w:cs="Tahoma"/>
          <w:sz w:val="24"/>
          <w:szCs w:val="24"/>
        </w:rPr>
        <w:sectPr w:rsidR="008F5195" w:rsidRPr="008F5195">
          <w:type w:val="continuous"/>
          <w:pgSz w:w="11910" w:h="16840"/>
          <w:pgMar w:top="1180" w:right="1559" w:bottom="280" w:left="1559" w:header="720" w:footer="720" w:gutter="0"/>
          <w:cols w:space="720"/>
        </w:sectPr>
      </w:pPr>
    </w:p>
    <w:p w14:paraId="029AC44E" w14:textId="62EE0658" w:rsidR="00C574B5" w:rsidRDefault="00D64ED2">
      <w:pPr>
        <w:pStyle w:val="Ttulo1"/>
        <w:spacing w:before="78"/>
      </w:pPr>
      <w:r>
        <w:rPr>
          <w:noProof/>
          <w:lang w:val="pt-BR" w:eastAsia="pt-BR"/>
        </w:rPr>
        <w:lastRenderedPageBreak/>
        <w:drawing>
          <wp:anchor distT="0" distB="0" distL="0" distR="0" simplePos="0" relativeHeight="487536640" behindDoc="1" locked="0" layoutInCell="1" allowOverlap="1" wp14:anchorId="11C8CCC2" wp14:editId="662C1A9F">
            <wp:simplePos x="0" y="0"/>
            <wp:positionH relativeFrom="page">
              <wp:posOffset>0</wp:posOffset>
            </wp:positionH>
            <wp:positionV relativeFrom="page">
              <wp:posOffset>15874</wp:posOffset>
            </wp:positionV>
            <wp:extent cx="7559040" cy="10666729"/>
            <wp:effectExtent l="0" t="0" r="3810" b="1905"/>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7559040" cy="10666729"/>
                    </a:xfrm>
                    <a:prstGeom prst="rect">
                      <a:avLst/>
                    </a:prstGeom>
                  </pic:spPr>
                </pic:pic>
              </a:graphicData>
            </a:graphic>
          </wp:anchor>
        </w:drawing>
      </w:r>
      <w:r>
        <w:rPr>
          <w:spacing w:val="-2"/>
        </w:rPr>
        <w:t>JUSTIFICATIVA</w:t>
      </w:r>
    </w:p>
    <w:p w14:paraId="066987C8" w14:textId="65BB1ED7" w:rsidR="00C574B5" w:rsidRDefault="00C574B5">
      <w:pPr>
        <w:pStyle w:val="Corpodetexto"/>
        <w:spacing w:before="140"/>
        <w:rPr>
          <w:b/>
        </w:rPr>
      </w:pPr>
    </w:p>
    <w:p w14:paraId="792FA52D" w14:textId="4CC5DA19" w:rsidR="008F5195" w:rsidRPr="008F5195" w:rsidRDefault="008F5195" w:rsidP="008F5195">
      <w:pPr>
        <w:spacing w:before="287" w:line="276" w:lineRule="auto"/>
        <w:ind w:firstLine="851"/>
        <w:jc w:val="both"/>
        <w:rPr>
          <w:sz w:val="24"/>
          <w:szCs w:val="24"/>
        </w:rPr>
      </w:pPr>
      <w:r w:rsidRPr="008F5195">
        <w:rPr>
          <w:sz w:val="24"/>
          <w:szCs w:val="24"/>
        </w:rPr>
        <w:t xml:space="preserve">O presente Projeto de Lei tem por finalidade promover a inclusão e garantir o direito à acessibilidade das pessoas com Transtorno do Espectro Autista (TEA) no Município de Bayeux, por meio da reserva de vagas de estacionamento preferenciais devidamente sinalizadas, tanto em estabelecimentos privados quanto em áreas públicas e vias coletivas. </w:t>
      </w:r>
    </w:p>
    <w:p w14:paraId="4D7968DE" w14:textId="65CFD7B5" w:rsidR="008F5195" w:rsidRPr="008F5195" w:rsidRDefault="008F5195" w:rsidP="008F5195">
      <w:pPr>
        <w:spacing w:before="287" w:line="276" w:lineRule="auto"/>
        <w:ind w:firstLine="851"/>
        <w:jc w:val="both"/>
        <w:rPr>
          <w:sz w:val="24"/>
          <w:szCs w:val="24"/>
        </w:rPr>
      </w:pPr>
      <w:r w:rsidRPr="008F5195">
        <w:rPr>
          <w:sz w:val="24"/>
          <w:szCs w:val="24"/>
        </w:rPr>
        <w:t xml:space="preserve">O Transtorno do Espectro Autista é uma condição de desenvolvimento que afeta a comunicação, o comportamento e a interação social, exigindo atenção especial do poder público para assegurar condições adequadas de mobilidade e convivência. </w:t>
      </w:r>
    </w:p>
    <w:p w14:paraId="64129CB0" w14:textId="62B330BC" w:rsidR="008F5195" w:rsidRPr="008F5195" w:rsidRDefault="008F5195" w:rsidP="008F5195">
      <w:pPr>
        <w:spacing w:before="287" w:line="276" w:lineRule="auto"/>
        <w:ind w:firstLine="851"/>
        <w:jc w:val="both"/>
        <w:rPr>
          <w:sz w:val="24"/>
          <w:szCs w:val="24"/>
        </w:rPr>
      </w:pPr>
      <w:r w:rsidRPr="008F5195">
        <w:rPr>
          <w:sz w:val="24"/>
          <w:szCs w:val="24"/>
        </w:rPr>
        <w:t xml:space="preserve">A </w:t>
      </w:r>
      <w:r w:rsidRPr="00DD1FF2">
        <w:rPr>
          <w:b/>
          <w:bCs/>
          <w:sz w:val="24"/>
          <w:szCs w:val="24"/>
        </w:rPr>
        <w:t>Lei Federal nº 12.764/2012 (Lei Berenice Piana)</w:t>
      </w:r>
      <w:r w:rsidRPr="008F5195">
        <w:rPr>
          <w:sz w:val="24"/>
          <w:szCs w:val="24"/>
        </w:rPr>
        <w:t xml:space="preserve"> reconhece a pessoa com TEA como pessoa com deficiência, garantindo-lhe prioridade e atendimento especial em serviços públicos e privados. Complementarmente, a </w:t>
      </w:r>
      <w:r w:rsidRPr="00DD1FF2">
        <w:rPr>
          <w:b/>
          <w:bCs/>
          <w:sz w:val="24"/>
          <w:szCs w:val="24"/>
        </w:rPr>
        <w:t>Lei Federal nº 13.146/2015 (Lei Brasileira de Inclusão da Pessoa com Deficiência)</w:t>
      </w:r>
      <w:r w:rsidRPr="008F5195">
        <w:rPr>
          <w:sz w:val="24"/>
          <w:szCs w:val="24"/>
        </w:rPr>
        <w:t xml:space="preserve"> determina que o poder público e a sociedade assegurem o pleno exercício dos direitos e liberdades fundamentais dessas pessoas. </w:t>
      </w:r>
    </w:p>
    <w:p w14:paraId="02F003B2" w14:textId="14D6063E" w:rsidR="008F5195" w:rsidRPr="008F5195" w:rsidRDefault="008F5195" w:rsidP="008F5195">
      <w:pPr>
        <w:spacing w:before="287" w:line="276" w:lineRule="auto"/>
        <w:ind w:firstLine="851"/>
        <w:jc w:val="both"/>
        <w:rPr>
          <w:sz w:val="24"/>
          <w:szCs w:val="24"/>
        </w:rPr>
      </w:pPr>
      <w:r w:rsidRPr="008F5195">
        <w:rPr>
          <w:sz w:val="24"/>
          <w:szCs w:val="24"/>
        </w:rPr>
        <w:t xml:space="preserve">A criação de vagas específicas, com o Símbolo Mundial de Conscientização do Autismo, tem papel educativo e simbólico, contribuindo para aumentar a visibilidade do autismo e fomentar a empatia social. </w:t>
      </w:r>
    </w:p>
    <w:p w14:paraId="0EA28DBF" w14:textId="53BBF30B" w:rsidR="008F5195" w:rsidRPr="008F5195" w:rsidRDefault="008F5195" w:rsidP="008F5195">
      <w:pPr>
        <w:spacing w:before="287" w:line="276" w:lineRule="auto"/>
        <w:ind w:firstLine="851"/>
        <w:jc w:val="both"/>
        <w:rPr>
          <w:sz w:val="24"/>
          <w:szCs w:val="24"/>
        </w:rPr>
      </w:pPr>
      <w:r w:rsidRPr="008F5195">
        <w:rPr>
          <w:sz w:val="24"/>
          <w:szCs w:val="24"/>
        </w:rPr>
        <w:t xml:space="preserve">Ao atribuir à </w:t>
      </w:r>
      <w:r w:rsidRPr="008F5195">
        <w:rPr>
          <w:b/>
          <w:bCs/>
          <w:sz w:val="24"/>
          <w:szCs w:val="24"/>
        </w:rPr>
        <w:t>SEMOB-Bayeux</w:t>
      </w:r>
      <w:r w:rsidRPr="008F5195">
        <w:rPr>
          <w:sz w:val="24"/>
          <w:szCs w:val="24"/>
        </w:rPr>
        <w:t xml:space="preserve"> a responsabilidade pela sinalização em vias públicas, assegura-se execução padronizada, fiscalização efetiva e cumprimento da lei. </w:t>
      </w:r>
    </w:p>
    <w:p w14:paraId="7E672F45" w14:textId="6DF63241" w:rsidR="008F5195" w:rsidRPr="008F5195" w:rsidRDefault="008F5195" w:rsidP="008F5195">
      <w:pPr>
        <w:spacing w:before="287" w:line="276" w:lineRule="auto"/>
        <w:ind w:firstLine="851"/>
        <w:jc w:val="both"/>
        <w:rPr>
          <w:sz w:val="24"/>
          <w:szCs w:val="24"/>
        </w:rPr>
      </w:pPr>
      <w:r w:rsidRPr="008F5195">
        <w:rPr>
          <w:sz w:val="24"/>
          <w:szCs w:val="24"/>
        </w:rPr>
        <w:t xml:space="preserve">Trata-se de medida de baixo custo e grande relevância social, reforçando o compromisso do Município de Bayeux com a inclusão, a cidadania e o respeito às diferenças. </w:t>
      </w:r>
    </w:p>
    <w:p w14:paraId="70041C12" w14:textId="463E15D2" w:rsidR="008F5195" w:rsidRPr="008F5195" w:rsidRDefault="008F5195" w:rsidP="008F5195">
      <w:pPr>
        <w:spacing w:before="287" w:line="276" w:lineRule="auto"/>
        <w:ind w:firstLine="851"/>
        <w:jc w:val="both"/>
        <w:rPr>
          <w:sz w:val="24"/>
          <w:szCs w:val="24"/>
        </w:rPr>
      </w:pPr>
      <w:r w:rsidRPr="008F5195">
        <w:rPr>
          <w:sz w:val="24"/>
          <w:szCs w:val="24"/>
        </w:rPr>
        <w:t xml:space="preserve">Diante da importância do tema, </w:t>
      </w:r>
      <w:r w:rsidRPr="00DD1FF2">
        <w:rPr>
          <w:b/>
          <w:bCs/>
          <w:sz w:val="24"/>
          <w:szCs w:val="24"/>
        </w:rPr>
        <w:t>solicita-se o apoio dos nobres vereadores para aprovação deste Projeto de Lei</w:t>
      </w:r>
      <w:r w:rsidRPr="008F5195">
        <w:rPr>
          <w:sz w:val="24"/>
          <w:szCs w:val="24"/>
        </w:rPr>
        <w:t>.</w:t>
      </w:r>
    </w:p>
    <w:p w14:paraId="0611A059" w14:textId="4BCB43ED" w:rsidR="00DD1FF2" w:rsidRDefault="00DD1FF2" w:rsidP="008F5195">
      <w:pPr>
        <w:spacing w:before="287" w:line="276" w:lineRule="auto"/>
        <w:jc w:val="right"/>
        <w:rPr>
          <w:b/>
          <w:sz w:val="21"/>
          <w:szCs w:val="21"/>
        </w:rPr>
      </w:pPr>
    </w:p>
    <w:p w14:paraId="3A086599" w14:textId="71E04E71" w:rsidR="00C574B5" w:rsidRPr="008F5195" w:rsidRDefault="00D64ED2" w:rsidP="008F5195">
      <w:pPr>
        <w:spacing w:before="287" w:line="276" w:lineRule="auto"/>
        <w:jc w:val="right"/>
        <w:rPr>
          <w:b/>
          <w:sz w:val="21"/>
          <w:szCs w:val="21"/>
        </w:rPr>
      </w:pPr>
      <w:r w:rsidRPr="008F5195">
        <w:rPr>
          <w:b/>
          <w:sz w:val="21"/>
          <w:szCs w:val="21"/>
        </w:rPr>
        <w:t>Sala</w:t>
      </w:r>
      <w:r w:rsidRPr="008F5195">
        <w:rPr>
          <w:b/>
          <w:spacing w:val="-7"/>
          <w:sz w:val="21"/>
          <w:szCs w:val="21"/>
        </w:rPr>
        <w:t xml:space="preserve"> </w:t>
      </w:r>
      <w:r w:rsidRPr="008F5195">
        <w:rPr>
          <w:b/>
          <w:sz w:val="21"/>
          <w:szCs w:val="21"/>
        </w:rPr>
        <w:t>das</w:t>
      </w:r>
      <w:r w:rsidRPr="008F5195">
        <w:rPr>
          <w:b/>
          <w:spacing w:val="-5"/>
          <w:sz w:val="21"/>
          <w:szCs w:val="21"/>
        </w:rPr>
        <w:t xml:space="preserve"> </w:t>
      </w:r>
      <w:r w:rsidRPr="008F5195">
        <w:rPr>
          <w:b/>
          <w:sz w:val="21"/>
          <w:szCs w:val="21"/>
        </w:rPr>
        <w:t>Sessões</w:t>
      </w:r>
      <w:r w:rsidRPr="008F5195">
        <w:rPr>
          <w:b/>
          <w:spacing w:val="-5"/>
          <w:sz w:val="21"/>
          <w:szCs w:val="21"/>
        </w:rPr>
        <w:t xml:space="preserve"> </w:t>
      </w:r>
      <w:r w:rsidRPr="008F5195">
        <w:rPr>
          <w:b/>
          <w:sz w:val="21"/>
          <w:szCs w:val="21"/>
        </w:rPr>
        <w:t>da</w:t>
      </w:r>
      <w:r w:rsidRPr="008F5195">
        <w:rPr>
          <w:b/>
          <w:spacing w:val="-5"/>
          <w:sz w:val="21"/>
          <w:szCs w:val="21"/>
        </w:rPr>
        <w:t xml:space="preserve"> </w:t>
      </w:r>
      <w:r w:rsidRPr="008F5195">
        <w:rPr>
          <w:b/>
          <w:sz w:val="21"/>
          <w:szCs w:val="21"/>
        </w:rPr>
        <w:t>Câmara</w:t>
      </w:r>
      <w:r w:rsidRPr="008F5195">
        <w:rPr>
          <w:b/>
          <w:spacing w:val="-5"/>
          <w:sz w:val="21"/>
          <w:szCs w:val="21"/>
        </w:rPr>
        <w:t xml:space="preserve"> </w:t>
      </w:r>
      <w:r w:rsidRPr="008F5195">
        <w:rPr>
          <w:b/>
          <w:sz w:val="21"/>
          <w:szCs w:val="21"/>
        </w:rPr>
        <w:t>Municipal</w:t>
      </w:r>
      <w:r w:rsidRPr="008F5195">
        <w:rPr>
          <w:b/>
          <w:spacing w:val="-5"/>
          <w:sz w:val="21"/>
          <w:szCs w:val="21"/>
        </w:rPr>
        <w:t xml:space="preserve"> </w:t>
      </w:r>
      <w:r w:rsidRPr="008F5195">
        <w:rPr>
          <w:b/>
          <w:sz w:val="21"/>
          <w:szCs w:val="21"/>
        </w:rPr>
        <w:t>de</w:t>
      </w:r>
      <w:r w:rsidRPr="008F5195">
        <w:rPr>
          <w:b/>
          <w:spacing w:val="-5"/>
          <w:sz w:val="21"/>
          <w:szCs w:val="21"/>
        </w:rPr>
        <w:t xml:space="preserve"> </w:t>
      </w:r>
      <w:r w:rsidRPr="008F5195">
        <w:rPr>
          <w:b/>
          <w:sz w:val="21"/>
          <w:szCs w:val="21"/>
        </w:rPr>
        <w:t>Bayeux,</w:t>
      </w:r>
      <w:r w:rsidRPr="008F5195">
        <w:rPr>
          <w:b/>
          <w:spacing w:val="-5"/>
          <w:sz w:val="21"/>
          <w:szCs w:val="21"/>
        </w:rPr>
        <w:t xml:space="preserve"> </w:t>
      </w:r>
      <w:r w:rsidR="007705C8">
        <w:rPr>
          <w:b/>
          <w:sz w:val="21"/>
          <w:szCs w:val="21"/>
        </w:rPr>
        <w:t>14</w:t>
      </w:r>
      <w:r w:rsidRPr="008F5195">
        <w:rPr>
          <w:b/>
          <w:spacing w:val="-6"/>
          <w:sz w:val="21"/>
          <w:szCs w:val="21"/>
        </w:rPr>
        <w:t xml:space="preserve"> </w:t>
      </w:r>
      <w:r w:rsidRPr="008F5195">
        <w:rPr>
          <w:b/>
          <w:sz w:val="21"/>
          <w:szCs w:val="21"/>
        </w:rPr>
        <w:t>de</w:t>
      </w:r>
      <w:r w:rsidRPr="008F5195">
        <w:rPr>
          <w:b/>
          <w:spacing w:val="-5"/>
          <w:sz w:val="21"/>
          <w:szCs w:val="21"/>
        </w:rPr>
        <w:t xml:space="preserve"> </w:t>
      </w:r>
      <w:r w:rsidR="007705C8">
        <w:rPr>
          <w:b/>
          <w:sz w:val="21"/>
          <w:szCs w:val="21"/>
        </w:rPr>
        <w:t>novembro</w:t>
      </w:r>
      <w:r w:rsidRPr="008F5195">
        <w:rPr>
          <w:b/>
          <w:spacing w:val="-6"/>
          <w:sz w:val="21"/>
          <w:szCs w:val="21"/>
        </w:rPr>
        <w:t xml:space="preserve"> </w:t>
      </w:r>
      <w:r w:rsidRPr="008F5195">
        <w:rPr>
          <w:b/>
          <w:sz w:val="21"/>
          <w:szCs w:val="21"/>
        </w:rPr>
        <w:t>de</w:t>
      </w:r>
      <w:r w:rsidRPr="008F5195">
        <w:rPr>
          <w:b/>
          <w:spacing w:val="-4"/>
          <w:sz w:val="21"/>
          <w:szCs w:val="21"/>
        </w:rPr>
        <w:t xml:space="preserve"> </w:t>
      </w:r>
      <w:r w:rsidRPr="008F5195">
        <w:rPr>
          <w:b/>
          <w:spacing w:val="-2"/>
          <w:sz w:val="21"/>
          <w:szCs w:val="21"/>
        </w:rPr>
        <w:t>2025.</w:t>
      </w:r>
    </w:p>
    <w:p w14:paraId="6F2E7619" w14:textId="49DB0C38" w:rsidR="00C574B5" w:rsidRDefault="00C574B5">
      <w:pPr>
        <w:pStyle w:val="Corpodetexto"/>
        <w:rPr>
          <w:b/>
          <w:sz w:val="20"/>
        </w:rPr>
      </w:pPr>
    </w:p>
    <w:p w14:paraId="64757CEA" w14:textId="2E57E0DB" w:rsidR="00C574B5" w:rsidRDefault="00D64ED2">
      <w:pPr>
        <w:pStyle w:val="Corpodetexto"/>
        <w:rPr>
          <w:b/>
          <w:sz w:val="20"/>
        </w:rPr>
      </w:pPr>
      <w:r>
        <w:rPr>
          <w:b/>
          <w:noProof/>
          <w:spacing w:val="-6"/>
          <w:sz w:val="21"/>
          <w:szCs w:val="21"/>
          <w:lang w:val="pt-BR" w:eastAsia="pt-BR"/>
        </w:rPr>
        <w:drawing>
          <wp:anchor distT="0" distB="0" distL="114300" distR="114300" simplePos="0" relativeHeight="487539712" behindDoc="0" locked="0" layoutInCell="1" allowOverlap="1" wp14:anchorId="25E49075" wp14:editId="4794A3DF">
            <wp:simplePos x="0" y="0"/>
            <wp:positionH relativeFrom="margin">
              <wp:align>center</wp:align>
            </wp:positionH>
            <wp:positionV relativeFrom="margin">
              <wp:posOffset>8243570</wp:posOffset>
            </wp:positionV>
            <wp:extent cx="1066800" cy="34290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inatura Gabriel Silv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800" cy="342900"/>
                    </a:xfrm>
                    <a:prstGeom prst="rect">
                      <a:avLst/>
                    </a:prstGeom>
                  </pic:spPr>
                </pic:pic>
              </a:graphicData>
            </a:graphic>
            <wp14:sizeRelH relativeFrom="margin">
              <wp14:pctWidth>0</wp14:pctWidth>
            </wp14:sizeRelH>
            <wp14:sizeRelV relativeFrom="margin">
              <wp14:pctHeight>0</wp14:pctHeight>
            </wp14:sizeRelV>
          </wp:anchor>
        </w:drawing>
      </w:r>
    </w:p>
    <w:p w14:paraId="0A460324" w14:textId="3F194C08" w:rsidR="00C574B5" w:rsidRDefault="00C574B5">
      <w:pPr>
        <w:pStyle w:val="Corpodetexto"/>
        <w:rPr>
          <w:b/>
          <w:sz w:val="20"/>
        </w:rPr>
      </w:pPr>
    </w:p>
    <w:p w14:paraId="370B7286" w14:textId="77777777" w:rsidR="008F5195" w:rsidRDefault="008F5195" w:rsidP="008F5195">
      <w:pPr>
        <w:pStyle w:val="Ttulo1"/>
        <w:ind w:right="2"/>
      </w:pPr>
    </w:p>
    <w:p w14:paraId="086E1D61" w14:textId="5E8E0E40" w:rsidR="00C574B5" w:rsidRDefault="00D64ED2" w:rsidP="008F5195">
      <w:pPr>
        <w:pStyle w:val="Ttulo1"/>
        <w:ind w:right="2"/>
      </w:pPr>
      <w:r>
        <w:t>GABRIEL</w:t>
      </w:r>
      <w:r>
        <w:rPr>
          <w:spacing w:val="-1"/>
        </w:rPr>
        <w:t xml:space="preserve"> </w:t>
      </w:r>
      <w:r>
        <w:rPr>
          <w:spacing w:val="-2"/>
        </w:rPr>
        <w:t>SILVA</w:t>
      </w:r>
    </w:p>
    <w:p w14:paraId="0369B4A2" w14:textId="65DAFDF7" w:rsidR="00C574B5" w:rsidRDefault="00D64ED2">
      <w:pPr>
        <w:pStyle w:val="Corpodetexto"/>
        <w:spacing w:before="3"/>
        <w:ind w:left="1" w:right="2"/>
        <w:jc w:val="center"/>
      </w:pPr>
      <w:r>
        <w:t>VEREADOR</w:t>
      </w:r>
      <w:r>
        <w:rPr>
          <w:spacing w:val="-1"/>
        </w:rPr>
        <w:t xml:space="preserve"> </w:t>
      </w:r>
      <w:r>
        <w:t xml:space="preserve">– </w:t>
      </w:r>
      <w:r>
        <w:rPr>
          <w:spacing w:val="-5"/>
        </w:rPr>
        <w:t>PSB</w:t>
      </w:r>
    </w:p>
    <w:sectPr w:rsidR="00C574B5">
      <w:pgSz w:w="11910" w:h="16840"/>
      <w:pgMar w:top="118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C809B28"/>
    <w:lvl w:ilvl="0">
      <w:start w:val="1"/>
      <w:numFmt w:val="decimal"/>
      <w:pStyle w:val="Numerada"/>
      <w:lvlText w:val="%1."/>
      <w:lvlJc w:val="left"/>
      <w:pPr>
        <w:tabs>
          <w:tab w:val="num" w:pos="360"/>
        </w:tabs>
        <w:ind w:left="360" w:hanging="360"/>
      </w:pPr>
    </w:lvl>
  </w:abstractNum>
  <w:abstractNum w:abstractNumId="1" w15:restartNumberingAfterBreak="0">
    <w:nsid w:val="764D372F"/>
    <w:multiLevelType w:val="hybridMultilevel"/>
    <w:tmpl w:val="AC04C008"/>
    <w:lvl w:ilvl="0" w:tplc="99A005B0">
      <w:start w:val="1"/>
      <w:numFmt w:val="upperRoman"/>
      <w:lvlText w:val="%1"/>
      <w:lvlJc w:val="left"/>
      <w:pPr>
        <w:ind w:left="140" w:hanging="211"/>
        <w:jc w:val="left"/>
      </w:pPr>
      <w:rPr>
        <w:rFonts w:ascii="Tahoma" w:eastAsia="Tahoma" w:hAnsi="Tahoma" w:cs="Tahoma" w:hint="default"/>
        <w:b/>
        <w:bCs/>
        <w:i w:val="0"/>
        <w:iCs w:val="0"/>
        <w:spacing w:val="0"/>
        <w:w w:val="100"/>
        <w:sz w:val="24"/>
        <w:szCs w:val="24"/>
        <w:lang w:val="pt-PT" w:eastAsia="en-US" w:bidi="ar-SA"/>
      </w:rPr>
    </w:lvl>
    <w:lvl w:ilvl="1" w:tplc="9BFCC41C">
      <w:numFmt w:val="bullet"/>
      <w:lvlText w:val="•"/>
      <w:lvlJc w:val="left"/>
      <w:pPr>
        <w:ind w:left="1004" w:hanging="211"/>
      </w:pPr>
      <w:rPr>
        <w:rFonts w:hint="default"/>
        <w:lang w:val="pt-PT" w:eastAsia="en-US" w:bidi="ar-SA"/>
      </w:rPr>
    </w:lvl>
    <w:lvl w:ilvl="2" w:tplc="FD543B22">
      <w:numFmt w:val="bullet"/>
      <w:lvlText w:val="•"/>
      <w:lvlJc w:val="left"/>
      <w:pPr>
        <w:ind w:left="1869" w:hanging="211"/>
      </w:pPr>
      <w:rPr>
        <w:rFonts w:hint="default"/>
        <w:lang w:val="pt-PT" w:eastAsia="en-US" w:bidi="ar-SA"/>
      </w:rPr>
    </w:lvl>
    <w:lvl w:ilvl="3" w:tplc="DF8CADA4">
      <w:numFmt w:val="bullet"/>
      <w:lvlText w:val="•"/>
      <w:lvlJc w:val="left"/>
      <w:pPr>
        <w:ind w:left="2733" w:hanging="211"/>
      </w:pPr>
      <w:rPr>
        <w:rFonts w:hint="default"/>
        <w:lang w:val="pt-PT" w:eastAsia="en-US" w:bidi="ar-SA"/>
      </w:rPr>
    </w:lvl>
    <w:lvl w:ilvl="4" w:tplc="F984DF04">
      <w:numFmt w:val="bullet"/>
      <w:lvlText w:val="•"/>
      <w:lvlJc w:val="left"/>
      <w:pPr>
        <w:ind w:left="3598" w:hanging="211"/>
      </w:pPr>
      <w:rPr>
        <w:rFonts w:hint="default"/>
        <w:lang w:val="pt-PT" w:eastAsia="en-US" w:bidi="ar-SA"/>
      </w:rPr>
    </w:lvl>
    <w:lvl w:ilvl="5" w:tplc="1EFCF1FE">
      <w:numFmt w:val="bullet"/>
      <w:lvlText w:val="•"/>
      <w:lvlJc w:val="left"/>
      <w:pPr>
        <w:ind w:left="4463" w:hanging="211"/>
      </w:pPr>
      <w:rPr>
        <w:rFonts w:hint="default"/>
        <w:lang w:val="pt-PT" w:eastAsia="en-US" w:bidi="ar-SA"/>
      </w:rPr>
    </w:lvl>
    <w:lvl w:ilvl="6" w:tplc="5C905450">
      <w:numFmt w:val="bullet"/>
      <w:lvlText w:val="•"/>
      <w:lvlJc w:val="left"/>
      <w:pPr>
        <w:ind w:left="5327" w:hanging="211"/>
      </w:pPr>
      <w:rPr>
        <w:rFonts w:hint="default"/>
        <w:lang w:val="pt-PT" w:eastAsia="en-US" w:bidi="ar-SA"/>
      </w:rPr>
    </w:lvl>
    <w:lvl w:ilvl="7" w:tplc="E43A2B90">
      <w:numFmt w:val="bullet"/>
      <w:lvlText w:val="•"/>
      <w:lvlJc w:val="left"/>
      <w:pPr>
        <w:ind w:left="6192" w:hanging="211"/>
      </w:pPr>
      <w:rPr>
        <w:rFonts w:hint="default"/>
        <w:lang w:val="pt-PT" w:eastAsia="en-US" w:bidi="ar-SA"/>
      </w:rPr>
    </w:lvl>
    <w:lvl w:ilvl="8" w:tplc="8986472E">
      <w:numFmt w:val="bullet"/>
      <w:lvlText w:val="•"/>
      <w:lvlJc w:val="left"/>
      <w:pPr>
        <w:ind w:left="7056" w:hanging="211"/>
      </w:pPr>
      <w:rPr>
        <w:rFonts w:hint="default"/>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B5"/>
    <w:rsid w:val="000A42FB"/>
    <w:rsid w:val="00206033"/>
    <w:rsid w:val="002C0FDD"/>
    <w:rsid w:val="0062766D"/>
    <w:rsid w:val="007705C8"/>
    <w:rsid w:val="008F5195"/>
    <w:rsid w:val="00A12961"/>
    <w:rsid w:val="00A4300C"/>
    <w:rsid w:val="00AA506D"/>
    <w:rsid w:val="00C574B5"/>
    <w:rsid w:val="00CE4AB1"/>
    <w:rsid w:val="00D64ED2"/>
    <w:rsid w:val="00DD1FF2"/>
    <w:rsid w:val="00FF3A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DD16"/>
  <w15:docId w15:val="{64DA8522-34E3-A64B-B4F1-11A1BE7B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ahoma" w:hAnsi="Tahoma" w:cs="Tahoma"/>
      <w:lang w:val="pt-PT"/>
    </w:rPr>
  </w:style>
  <w:style w:type="paragraph" w:styleId="Ttulo1">
    <w:name w:val="heading 1"/>
    <w:basedOn w:val="Normal"/>
    <w:uiPriority w:val="9"/>
    <w:qFormat/>
    <w:pPr>
      <w:jc w:val="center"/>
      <w:outlineLvl w:val="0"/>
    </w:pPr>
    <w:rPr>
      <w:b/>
      <w:bCs/>
      <w:sz w:val="24"/>
      <w:szCs w:val="24"/>
    </w:rPr>
  </w:style>
  <w:style w:type="paragraph" w:styleId="Ttulo2">
    <w:name w:val="heading 2"/>
    <w:basedOn w:val="Normal"/>
    <w:uiPriority w:val="9"/>
    <w:unhideWhenUsed/>
    <w:qFormat/>
    <w:pPr>
      <w:ind w:left="140"/>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
      <w:ind w:left="140" w:right="139"/>
      <w:jc w:val="both"/>
    </w:pPr>
  </w:style>
  <w:style w:type="paragraph" w:customStyle="1" w:styleId="TableParagraph">
    <w:name w:val="Table Paragraph"/>
    <w:basedOn w:val="Normal"/>
    <w:uiPriority w:val="1"/>
    <w:qFormat/>
  </w:style>
  <w:style w:type="paragraph" w:styleId="Numerada">
    <w:name w:val="List Number"/>
    <w:basedOn w:val="Normal"/>
    <w:uiPriority w:val="99"/>
    <w:unhideWhenUsed/>
    <w:rsid w:val="000A42FB"/>
    <w:pPr>
      <w:widowControl/>
      <w:numPr>
        <w:numId w:val="2"/>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4364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Marcelo Bandeira</cp:lastModifiedBy>
  <cp:revision>5</cp:revision>
  <cp:lastPrinted>2025-10-06T13:13:00Z</cp:lastPrinted>
  <dcterms:created xsi:type="dcterms:W3CDTF">2025-10-06T13:13:00Z</dcterms:created>
  <dcterms:modified xsi:type="dcterms:W3CDTF">2025-11-14T22:30:00Z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2025-10-02T00:00:00Z</vt:filetime>
  </property>
  <property fmtid="{D5CDD505-2E9C-101B-9397-08002B2CF9AE}" pid="4" name="Producer">
    <vt:lpwstr>macOS Versão 15.6.1 (Compilação 24G90) Quartz PDFContext</vt:lpwstr>
  </property>
</Properties>
</file>